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83D" w:rsidRPr="004D79B2" w:rsidRDefault="00D4483D" w:rsidP="00946EB4">
      <w:pPr>
        <w:jc w:val="center"/>
        <w:rPr>
          <w:b/>
        </w:rPr>
      </w:pPr>
      <w:bookmarkStart w:id="0" w:name="_Toc223948993"/>
      <w:r>
        <w:rPr>
          <w:b/>
        </w:rPr>
        <w:tab/>
      </w:r>
    </w:p>
    <w:p w:rsidR="00D4483D" w:rsidRPr="004D79B2" w:rsidRDefault="00D4483D" w:rsidP="00946EB4">
      <w:pPr>
        <w:jc w:val="center"/>
        <w:rPr>
          <w:b/>
        </w:rPr>
      </w:pPr>
    </w:p>
    <w:bookmarkEnd w:id="0"/>
    <w:p w:rsidR="00D4483D" w:rsidRPr="004D79B2" w:rsidRDefault="00D4483D" w:rsidP="00946EB4">
      <w:pPr>
        <w:jc w:val="center"/>
        <w:rPr>
          <w:b/>
          <w:caps/>
          <w:sz w:val="28"/>
          <w:szCs w:val="28"/>
        </w:rPr>
      </w:pPr>
      <w:r w:rsidRPr="00592B8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i1025" type="#_x0000_t75" alt="Ville de Bois-le-Roi" style="width:158.25pt;height:89.25pt;visibility:visible">
            <v:imagedata r:id="rId7" o:title=""/>
          </v:shape>
        </w:pict>
      </w:r>
    </w:p>
    <w:p w:rsidR="00D4483D" w:rsidRPr="004D79B2" w:rsidRDefault="00D4483D" w:rsidP="00946EB4">
      <w:pPr>
        <w:jc w:val="center"/>
        <w:rPr>
          <w:b/>
          <w:caps/>
          <w:sz w:val="28"/>
          <w:szCs w:val="28"/>
        </w:rPr>
      </w:pPr>
    </w:p>
    <w:p w:rsidR="00D4483D" w:rsidRPr="004D79B2" w:rsidRDefault="00D4483D" w:rsidP="00946EB4">
      <w:pPr>
        <w:jc w:val="center"/>
        <w:rPr>
          <w:b/>
          <w:caps/>
          <w:sz w:val="28"/>
          <w:szCs w:val="28"/>
        </w:rPr>
      </w:pPr>
    </w:p>
    <w:p w:rsidR="00D4483D" w:rsidRPr="004D79B2" w:rsidRDefault="00D4483D" w:rsidP="00946EB4">
      <w:pPr>
        <w:jc w:val="center"/>
        <w:rPr>
          <w:b/>
          <w:caps/>
          <w:sz w:val="28"/>
          <w:szCs w:val="28"/>
        </w:rPr>
      </w:pPr>
    </w:p>
    <w:p w:rsidR="00D4483D" w:rsidRPr="004D79B2" w:rsidRDefault="00D4483D" w:rsidP="00946EB4">
      <w:pPr>
        <w:pBdr>
          <w:top w:val="single" w:sz="18" w:space="1" w:color="auto" w:shadow="1"/>
          <w:left w:val="single" w:sz="18" w:space="4" w:color="auto" w:shadow="1"/>
          <w:bottom w:val="single" w:sz="18" w:space="1" w:color="auto" w:shadow="1"/>
          <w:right w:val="single" w:sz="18" w:space="4" w:color="auto" w:shadow="1"/>
        </w:pBdr>
        <w:shd w:val="pct12" w:color="auto" w:fill="FFFFFF"/>
        <w:ind w:right="-567"/>
        <w:jc w:val="center"/>
        <w:rPr>
          <w:sz w:val="40"/>
          <w:szCs w:val="40"/>
        </w:rPr>
      </w:pPr>
    </w:p>
    <w:p w:rsidR="00D4483D" w:rsidRDefault="00D4483D" w:rsidP="00946EB4">
      <w:pPr>
        <w:pStyle w:val="Title"/>
        <w:shd w:val="pct12" w:color="auto" w:fill="FFFFFF"/>
        <w:ind w:right="-567"/>
        <w:rPr>
          <w:sz w:val="44"/>
          <w:szCs w:val="44"/>
        </w:rPr>
      </w:pPr>
      <w:r>
        <w:rPr>
          <w:sz w:val="44"/>
          <w:szCs w:val="44"/>
        </w:rPr>
        <w:t>Bilan du contrat de délégation</w:t>
      </w:r>
    </w:p>
    <w:p w:rsidR="00D4483D" w:rsidRDefault="00D4483D" w:rsidP="00946EB4">
      <w:pPr>
        <w:pStyle w:val="Title"/>
        <w:shd w:val="pct12" w:color="auto" w:fill="FFFFFF"/>
        <w:ind w:right="-567"/>
        <w:rPr>
          <w:sz w:val="44"/>
          <w:szCs w:val="44"/>
        </w:rPr>
      </w:pPr>
      <w:r>
        <w:rPr>
          <w:sz w:val="44"/>
          <w:szCs w:val="44"/>
        </w:rPr>
        <w:t>du service public de l’eau potable</w:t>
      </w:r>
    </w:p>
    <w:p w:rsidR="00D4483D" w:rsidRPr="004D79B2" w:rsidRDefault="00D4483D" w:rsidP="00946EB4">
      <w:pPr>
        <w:pStyle w:val="Title"/>
        <w:shd w:val="pct12" w:color="auto" w:fill="FFFFFF"/>
        <w:ind w:right="-567"/>
        <w:rPr>
          <w:sz w:val="40"/>
          <w:szCs w:val="40"/>
        </w:rPr>
      </w:pPr>
    </w:p>
    <w:p w:rsidR="00D4483D" w:rsidRDefault="00D4483D" w:rsidP="00946EB4"/>
    <w:p w:rsidR="00D4483D" w:rsidRDefault="00D4483D" w:rsidP="00946EB4"/>
    <w:p w:rsidR="00D4483D" w:rsidRPr="004D79B2" w:rsidRDefault="00D4483D" w:rsidP="00946EB4"/>
    <w:p w:rsidR="00D4483D" w:rsidRDefault="00D4483D" w:rsidP="00946EB4">
      <w:pPr>
        <w:jc w:val="center"/>
      </w:pPr>
      <w:r>
        <w:t>***</w:t>
      </w:r>
    </w:p>
    <w:p w:rsidR="00D4483D" w:rsidRPr="004D79B2" w:rsidRDefault="00D4483D" w:rsidP="00946EB4"/>
    <w:p w:rsidR="00D4483D" w:rsidRPr="004D79B2" w:rsidRDefault="00D4483D" w:rsidP="00946EB4"/>
    <w:p w:rsidR="00D4483D" w:rsidRPr="00C533BF" w:rsidRDefault="00D4483D" w:rsidP="00946EB4">
      <w:pPr>
        <w:jc w:val="center"/>
        <w:rPr>
          <w:b/>
          <w:sz w:val="36"/>
        </w:rPr>
      </w:pPr>
      <w:r w:rsidRPr="00C533BF">
        <w:rPr>
          <w:b/>
          <w:sz w:val="36"/>
        </w:rPr>
        <w:t xml:space="preserve">Rapport </w:t>
      </w:r>
      <w:r>
        <w:rPr>
          <w:b/>
          <w:sz w:val="36"/>
        </w:rPr>
        <w:t>d’analyse du service d’eau potable</w:t>
      </w:r>
    </w:p>
    <w:p w:rsidR="00D4483D" w:rsidRDefault="00D4483D" w:rsidP="00946EB4">
      <w:pPr>
        <w:jc w:val="center"/>
        <w:rPr>
          <w:i/>
        </w:rPr>
      </w:pPr>
    </w:p>
    <w:p w:rsidR="00D4483D" w:rsidRPr="00C533BF" w:rsidRDefault="00D4483D" w:rsidP="00946EB4">
      <w:pPr>
        <w:jc w:val="center"/>
        <w:rPr>
          <w:i/>
        </w:rPr>
      </w:pPr>
    </w:p>
    <w:p w:rsidR="00D4483D" w:rsidRPr="004D79B2" w:rsidRDefault="00D4483D" w:rsidP="00946EB4">
      <w:pPr>
        <w:rPr>
          <w:b/>
          <w:sz w:val="36"/>
          <w:szCs w:val="36"/>
        </w:rPr>
      </w:pPr>
    </w:p>
    <w:p w:rsidR="00D4483D" w:rsidRPr="004D79B2" w:rsidRDefault="00D4483D" w:rsidP="00946EB4"/>
    <w:p w:rsidR="00D4483D" w:rsidRPr="004D79B2" w:rsidRDefault="00D4483D" w:rsidP="00946EB4"/>
    <w:p w:rsidR="00D4483D" w:rsidRPr="004D79B2" w:rsidRDefault="00D4483D" w:rsidP="00946EB4"/>
    <w:p w:rsidR="00D4483D" w:rsidRPr="004D79B2" w:rsidRDefault="00D4483D" w:rsidP="00946EB4"/>
    <w:p w:rsidR="00D4483D" w:rsidRPr="004D79B2" w:rsidRDefault="00D4483D" w:rsidP="00946EB4"/>
    <w:p w:rsidR="00D4483D" w:rsidRPr="004D79B2" w:rsidRDefault="00D4483D" w:rsidP="00946EB4"/>
    <w:p w:rsidR="00D4483D" w:rsidRPr="004D79B2" w:rsidRDefault="00D4483D" w:rsidP="00946EB4"/>
    <w:p w:rsidR="00D4483D" w:rsidRPr="004D79B2" w:rsidRDefault="00D4483D" w:rsidP="00946EB4"/>
    <w:p w:rsidR="00D4483D" w:rsidRPr="004D79B2" w:rsidRDefault="00D4483D" w:rsidP="00946EB4"/>
    <w:p w:rsidR="00D4483D" w:rsidRPr="004D79B2" w:rsidRDefault="00D4483D" w:rsidP="00946EB4"/>
    <w:p w:rsidR="00D4483D" w:rsidRPr="004D79B2" w:rsidRDefault="00D4483D" w:rsidP="00946EB4">
      <w:pPr>
        <w:jc w:val="right"/>
      </w:pPr>
      <w:r>
        <w:t>Septembre 2013</w:t>
      </w:r>
    </w:p>
    <w:p w:rsidR="00D4483D" w:rsidRPr="004D79B2" w:rsidRDefault="00D4483D" w:rsidP="00946EB4"/>
    <w:p w:rsidR="00D4483D" w:rsidRDefault="00D4483D" w:rsidP="00946EB4"/>
    <w:p w:rsidR="00D4483D" w:rsidRDefault="00D4483D" w:rsidP="00D92178"/>
    <w:p w:rsidR="00D4483D" w:rsidRPr="00D92178" w:rsidRDefault="00D4483D" w:rsidP="00D92178">
      <w:pPr>
        <w:rPr>
          <w:sz w:val="16"/>
          <w:szCs w:val="16"/>
        </w:rPr>
      </w:pPr>
      <w:r w:rsidRPr="00413F7A">
        <w:rPr>
          <w:sz w:val="16"/>
          <w:szCs w:val="16"/>
        </w:rPr>
        <w:t>W-13-391</w:t>
      </w:r>
    </w:p>
    <w:p w:rsidR="00D4483D" w:rsidRDefault="00D4483D" w:rsidP="00D92178"/>
    <w:p w:rsidR="00D4483D" w:rsidRDefault="00D4483D" w:rsidP="00D92178">
      <w:pPr>
        <w:sectPr w:rsidR="00D4483D" w:rsidSect="00766CA8">
          <w:headerReference w:type="default" r:id="rId8"/>
          <w:footerReference w:type="default" r:id="rId9"/>
          <w:pgSz w:w="11906" w:h="16838"/>
          <w:pgMar w:top="1417" w:right="1417" w:bottom="1417" w:left="1417" w:header="708" w:footer="708" w:gutter="0"/>
          <w:cols w:space="708"/>
          <w:rtlGutter/>
          <w:docGrid w:linePitch="360"/>
        </w:sectPr>
      </w:pPr>
    </w:p>
    <w:p w:rsidR="00D4483D" w:rsidRPr="004D79B2" w:rsidRDefault="00D4483D" w:rsidP="00946EB4"/>
    <w:p w:rsidR="00D4483D" w:rsidRPr="004D79B2" w:rsidRDefault="00D4483D" w:rsidP="00946EB4">
      <w:pPr>
        <w:pStyle w:val="TOCHeading"/>
        <w:jc w:val="center"/>
        <w:rPr>
          <w:rFonts w:ascii="Times New Roman" w:hAnsi="Times New Roman"/>
          <w:caps/>
          <w:color w:val="auto"/>
        </w:rPr>
      </w:pPr>
      <w:r w:rsidRPr="004D79B2">
        <w:rPr>
          <w:rFonts w:ascii="Times New Roman" w:hAnsi="Times New Roman"/>
          <w:caps/>
          <w:color w:val="auto"/>
        </w:rPr>
        <w:t>Sommaire</w:t>
      </w:r>
    </w:p>
    <w:p w:rsidR="00D4483D" w:rsidRPr="004D79B2" w:rsidRDefault="00D4483D" w:rsidP="00946EB4"/>
    <w:p w:rsidR="00D4483D" w:rsidRDefault="00D4483D">
      <w:pPr>
        <w:pStyle w:val="TOC1"/>
        <w:tabs>
          <w:tab w:val="right" w:leader="dot" w:pos="9062"/>
        </w:tabs>
        <w:rPr>
          <w:rFonts w:ascii="Calibri" w:hAnsi="Calibri"/>
          <w:noProof/>
          <w:sz w:val="22"/>
          <w:szCs w:val="22"/>
        </w:rPr>
      </w:pPr>
      <w:r w:rsidRPr="004D79B2">
        <w:fldChar w:fldCharType="begin"/>
      </w:r>
      <w:r w:rsidRPr="004D79B2">
        <w:instrText xml:space="preserve"> TOC \o "1-3" \h \z \u </w:instrText>
      </w:r>
      <w:r w:rsidRPr="004D79B2">
        <w:fldChar w:fldCharType="separate"/>
      </w:r>
      <w:hyperlink w:anchor="_Toc367105211" w:history="1">
        <w:r w:rsidRPr="00056E64">
          <w:rPr>
            <w:rStyle w:val="Hyperlink"/>
            <w:noProof/>
          </w:rPr>
          <w:t>INTRODUCTION</w:t>
        </w:r>
        <w:r>
          <w:rPr>
            <w:noProof/>
            <w:webHidden/>
          </w:rPr>
          <w:tab/>
        </w:r>
        <w:r>
          <w:rPr>
            <w:noProof/>
            <w:webHidden/>
          </w:rPr>
          <w:fldChar w:fldCharType="begin"/>
        </w:r>
        <w:r>
          <w:rPr>
            <w:noProof/>
            <w:webHidden/>
          </w:rPr>
          <w:instrText xml:space="preserve"> PAGEREF _Toc367105211 \h </w:instrText>
        </w:r>
        <w:r>
          <w:rPr>
            <w:noProof/>
          </w:rPr>
        </w:r>
        <w:r>
          <w:rPr>
            <w:noProof/>
            <w:webHidden/>
          </w:rPr>
          <w:fldChar w:fldCharType="separate"/>
        </w:r>
        <w:r>
          <w:rPr>
            <w:noProof/>
            <w:webHidden/>
          </w:rPr>
          <w:t>3</w:t>
        </w:r>
        <w:r>
          <w:rPr>
            <w:noProof/>
            <w:webHidden/>
          </w:rPr>
          <w:fldChar w:fldCharType="end"/>
        </w:r>
      </w:hyperlink>
    </w:p>
    <w:p w:rsidR="00D4483D" w:rsidRDefault="00D4483D">
      <w:pPr>
        <w:pStyle w:val="TOC1"/>
        <w:tabs>
          <w:tab w:val="left" w:pos="840"/>
          <w:tab w:val="right" w:leader="dot" w:pos="9062"/>
        </w:tabs>
        <w:rPr>
          <w:rFonts w:ascii="Calibri" w:hAnsi="Calibri"/>
          <w:noProof/>
          <w:sz w:val="22"/>
          <w:szCs w:val="22"/>
        </w:rPr>
      </w:pPr>
      <w:hyperlink w:anchor="_Toc367105212" w:history="1">
        <w:r w:rsidRPr="00056E64">
          <w:rPr>
            <w:rStyle w:val="Hyperlink"/>
            <w:noProof/>
          </w:rPr>
          <w:t>I.</w:t>
        </w:r>
        <w:r>
          <w:rPr>
            <w:rFonts w:ascii="Calibri" w:hAnsi="Calibri"/>
            <w:noProof/>
            <w:sz w:val="22"/>
            <w:szCs w:val="22"/>
          </w:rPr>
          <w:tab/>
        </w:r>
        <w:r w:rsidRPr="00056E64">
          <w:rPr>
            <w:rStyle w:val="Hyperlink"/>
            <w:noProof/>
          </w:rPr>
          <w:t>Présentation générale des contrats</w:t>
        </w:r>
        <w:r>
          <w:rPr>
            <w:noProof/>
            <w:webHidden/>
          </w:rPr>
          <w:tab/>
        </w:r>
        <w:r>
          <w:rPr>
            <w:noProof/>
            <w:webHidden/>
          </w:rPr>
          <w:fldChar w:fldCharType="begin"/>
        </w:r>
        <w:r>
          <w:rPr>
            <w:noProof/>
            <w:webHidden/>
          </w:rPr>
          <w:instrText xml:space="preserve"> PAGEREF _Toc367105212 \h </w:instrText>
        </w:r>
        <w:r>
          <w:rPr>
            <w:noProof/>
          </w:rPr>
        </w:r>
        <w:r>
          <w:rPr>
            <w:noProof/>
            <w:webHidden/>
          </w:rPr>
          <w:fldChar w:fldCharType="separate"/>
        </w:r>
        <w:r>
          <w:rPr>
            <w:noProof/>
            <w:webHidden/>
          </w:rPr>
          <w:t>3</w:t>
        </w:r>
        <w:r>
          <w:rPr>
            <w:noProof/>
            <w:webHidden/>
          </w:rPr>
          <w:fldChar w:fldCharType="end"/>
        </w:r>
      </w:hyperlink>
    </w:p>
    <w:p w:rsidR="00D4483D" w:rsidRDefault="00D4483D">
      <w:pPr>
        <w:pStyle w:val="TOC1"/>
        <w:tabs>
          <w:tab w:val="left" w:pos="840"/>
          <w:tab w:val="right" w:leader="dot" w:pos="9062"/>
        </w:tabs>
        <w:rPr>
          <w:rFonts w:ascii="Calibri" w:hAnsi="Calibri"/>
          <w:noProof/>
          <w:sz w:val="22"/>
          <w:szCs w:val="22"/>
        </w:rPr>
      </w:pPr>
      <w:hyperlink w:anchor="_Toc367105213" w:history="1">
        <w:r w:rsidRPr="00056E64">
          <w:rPr>
            <w:rStyle w:val="Hyperlink"/>
            <w:noProof/>
          </w:rPr>
          <w:t>II.</w:t>
        </w:r>
        <w:r>
          <w:rPr>
            <w:rFonts w:ascii="Calibri" w:hAnsi="Calibri"/>
            <w:noProof/>
            <w:sz w:val="22"/>
            <w:szCs w:val="22"/>
          </w:rPr>
          <w:tab/>
        </w:r>
        <w:r w:rsidRPr="00056E64">
          <w:rPr>
            <w:rStyle w:val="Hyperlink"/>
            <w:noProof/>
          </w:rPr>
          <w:t>Aspects techniques</w:t>
        </w:r>
        <w:r>
          <w:rPr>
            <w:noProof/>
            <w:webHidden/>
          </w:rPr>
          <w:tab/>
        </w:r>
        <w:r>
          <w:rPr>
            <w:noProof/>
            <w:webHidden/>
          </w:rPr>
          <w:fldChar w:fldCharType="begin"/>
        </w:r>
        <w:r>
          <w:rPr>
            <w:noProof/>
            <w:webHidden/>
          </w:rPr>
          <w:instrText xml:space="preserve"> PAGEREF _Toc367105213 \h </w:instrText>
        </w:r>
        <w:r>
          <w:rPr>
            <w:noProof/>
          </w:rPr>
        </w:r>
        <w:r>
          <w:rPr>
            <w:noProof/>
            <w:webHidden/>
          </w:rPr>
          <w:fldChar w:fldCharType="separate"/>
        </w:r>
        <w:r>
          <w:rPr>
            <w:noProof/>
            <w:webHidden/>
          </w:rPr>
          <w:t>3</w:t>
        </w:r>
        <w:r>
          <w:rPr>
            <w:noProof/>
            <w:webHidden/>
          </w:rPr>
          <w:fldChar w:fldCharType="end"/>
        </w:r>
      </w:hyperlink>
    </w:p>
    <w:p w:rsidR="00D4483D" w:rsidRDefault="00D4483D">
      <w:pPr>
        <w:pStyle w:val="TOC2"/>
        <w:rPr>
          <w:rFonts w:ascii="Calibri" w:hAnsi="Calibri"/>
          <w:noProof/>
          <w:sz w:val="22"/>
          <w:szCs w:val="22"/>
        </w:rPr>
      </w:pPr>
      <w:hyperlink w:anchor="_Toc367105214" w:history="1">
        <w:r w:rsidRPr="00056E64">
          <w:rPr>
            <w:rStyle w:val="Hyperlink"/>
            <w:noProof/>
          </w:rPr>
          <w:t>II.1.</w:t>
        </w:r>
        <w:r>
          <w:rPr>
            <w:rFonts w:ascii="Calibri" w:hAnsi="Calibri"/>
            <w:noProof/>
            <w:sz w:val="22"/>
            <w:szCs w:val="22"/>
          </w:rPr>
          <w:tab/>
        </w:r>
        <w:r w:rsidRPr="00056E64">
          <w:rPr>
            <w:rStyle w:val="Hyperlink"/>
            <w:noProof/>
          </w:rPr>
          <w:t>Assiette du service</w:t>
        </w:r>
        <w:r>
          <w:rPr>
            <w:noProof/>
            <w:webHidden/>
          </w:rPr>
          <w:tab/>
        </w:r>
        <w:r>
          <w:rPr>
            <w:noProof/>
            <w:webHidden/>
          </w:rPr>
          <w:fldChar w:fldCharType="begin"/>
        </w:r>
        <w:r>
          <w:rPr>
            <w:noProof/>
            <w:webHidden/>
          </w:rPr>
          <w:instrText xml:space="preserve"> PAGEREF _Toc367105214 \h </w:instrText>
        </w:r>
        <w:r>
          <w:rPr>
            <w:noProof/>
          </w:rPr>
        </w:r>
        <w:r>
          <w:rPr>
            <w:noProof/>
            <w:webHidden/>
          </w:rPr>
          <w:fldChar w:fldCharType="separate"/>
        </w:r>
        <w:r>
          <w:rPr>
            <w:noProof/>
            <w:webHidden/>
          </w:rPr>
          <w:t>3</w:t>
        </w:r>
        <w:r>
          <w:rPr>
            <w:noProof/>
            <w:webHidden/>
          </w:rPr>
          <w:fldChar w:fldCharType="end"/>
        </w:r>
      </w:hyperlink>
    </w:p>
    <w:p w:rsidR="00D4483D" w:rsidRDefault="00D4483D">
      <w:pPr>
        <w:pStyle w:val="TOC2"/>
        <w:rPr>
          <w:rFonts w:ascii="Calibri" w:hAnsi="Calibri"/>
          <w:noProof/>
          <w:sz w:val="22"/>
          <w:szCs w:val="22"/>
        </w:rPr>
      </w:pPr>
      <w:hyperlink w:anchor="_Toc367105215" w:history="1">
        <w:r w:rsidRPr="00056E64">
          <w:rPr>
            <w:rStyle w:val="Hyperlink"/>
            <w:noProof/>
          </w:rPr>
          <w:t>II.2.</w:t>
        </w:r>
        <w:r>
          <w:rPr>
            <w:rFonts w:ascii="Calibri" w:hAnsi="Calibri"/>
            <w:noProof/>
            <w:sz w:val="22"/>
            <w:szCs w:val="22"/>
          </w:rPr>
          <w:tab/>
        </w:r>
        <w:r w:rsidRPr="00056E64">
          <w:rPr>
            <w:rStyle w:val="Hyperlink"/>
            <w:noProof/>
          </w:rPr>
          <w:t>Production d’eau potable</w:t>
        </w:r>
        <w:r>
          <w:rPr>
            <w:noProof/>
            <w:webHidden/>
          </w:rPr>
          <w:tab/>
        </w:r>
        <w:r>
          <w:rPr>
            <w:noProof/>
            <w:webHidden/>
          </w:rPr>
          <w:fldChar w:fldCharType="begin"/>
        </w:r>
        <w:r>
          <w:rPr>
            <w:noProof/>
            <w:webHidden/>
          </w:rPr>
          <w:instrText xml:space="preserve"> PAGEREF _Toc367105215 \h </w:instrText>
        </w:r>
        <w:r>
          <w:rPr>
            <w:noProof/>
          </w:rPr>
        </w:r>
        <w:r>
          <w:rPr>
            <w:noProof/>
            <w:webHidden/>
          </w:rPr>
          <w:fldChar w:fldCharType="separate"/>
        </w:r>
        <w:r>
          <w:rPr>
            <w:noProof/>
            <w:webHidden/>
          </w:rPr>
          <w:t>3</w:t>
        </w:r>
        <w:r>
          <w:rPr>
            <w:noProof/>
            <w:webHidden/>
          </w:rPr>
          <w:fldChar w:fldCharType="end"/>
        </w:r>
      </w:hyperlink>
    </w:p>
    <w:p w:rsidR="00D4483D" w:rsidRDefault="00D4483D">
      <w:pPr>
        <w:pStyle w:val="TOC2"/>
        <w:rPr>
          <w:rFonts w:ascii="Calibri" w:hAnsi="Calibri"/>
          <w:noProof/>
          <w:sz w:val="22"/>
          <w:szCs w:val="22"/>
        </w:rPr>
      </w:pPr>
      <w:hyperlink w:anchor="_Toc367105216" w:history="1">
        <w:r w:rsidRPr="00056E64">
          <w:rPr>
            <w:rStyle w:val="Hyperlink"/>
            <w:noProof/>
          </w:rPr>
          <w:t>II.3.</w:t>
        </w:r>
        <w:r>
          <w:rPr>
            <w:rFonts w:ascii="Calibri" w:hAnsi="Calibri"/>
            <w:noProof/>
            <w:sz w:val="22"/>
            <w:szCs w:val="22"/>
          </w:rPr>
          <w:tab/>
        </w:r>
        <w:r w:rsidRPr="00056E64">
          <w:rPr>
            <w:rStyle w:val="Hyperlink"/>
            <w:noProof/>
          </w:rPr>
          <w:t>Distribution de l’eau potable</w:t>
        </w:r>
        <w:r>
          <w:rPr>
            <w:noProof/>
            <w:webHidden/>
          </w:rPr>
          <w:tab/>
        </w:r>
        <w:r>
          <w:rPr>
            <w:noProof/>
            <w:webHidden/>
          </w:rPr>
          <w:fldChar w:fldCharType="begin"/>
        </w:r>
        <w:r>
          <w:rPr>
            <w:noProof/>
            <w:webHidden/>
          </w:rPr>
          <w:instrText xml:space="preserve"> PAGEREF _Toc367105216 \h </w:instrText>
        </w:r>
        <w:r>
          <w:rPr>
            <w:noProof/>
          </w:rPr>
        </w:r>
        <w:r>
          <w:rPr>
            <w:noProof/>
            <w:webHidden/>
          </w:rPr>
          <w:fldChar w:fldCharType="separate"/>
        </w:r>
        <w:r>
          <w:rPr>
            <w:noProof/>
            <w:webHidden/>
          </w:rPr>
          <w:t>3</w:t>
        </w:r>
        <w:r>
          <w:rPr>
            <w:noProof/>
            <w:webHidden/>
          </w:rPr>
          <w:fldChar w:fldCharType="end"/>
        </w:r>
      </w:hyperlink>
    </w:p>
    <w:p w:rsidR="00D4483D" w:rsidRDefault="00D4483D">
      <w:pPr>
        <w:pStyle w:val="TOC1"/>
        <w:tabs>
          <w:tab w:val="left" w:pos="840"/>
          <w:tab w:val="right" w:leader="dot" w:pos="9062"/>
        </w:tabs>
        <w:rPr>
          <w:rFonts w:ascii="Calibri" w:hAnsi="Calibri"/>
          <w:noProof/>
          <w:sz w:val="22"/>
          <w:szCs w:val="22"/>
        </w:rPr>
      </w:pPr>
      <w:hyperlink w:anchor="_Toc367105217" w:history="1">
        <w:r w:rsidRPr="00056E64">
          <w:rPr>
            <w:rStyle w:val="Hyperlink"/>
            <w:noProof/>
          </w:rPr>
          <w:t>III.</w:t>
        </w:r>
        <w:r>
          <w:rPr>
            <w:rFonts w:ascii="Calibri" w:hAnsi="Calibri"/>
            <w:noProof/>
            <w:sz w:val="22"/>
            <w:szCs w:val="22"/>
          </w:rPr>
          <w:tab/>
        </w:r>
        <w:r w:rsidRPr="00056E64">
          <w:rPr>
            <w:rStyle w:val="Hyperlink"/>
            <w:noProof/>
          </w:rPr>
          <w:t>Aspects relatifs à la gestion clientèle</w:t>
        </w:r>
        <w:r>
          <w:rPr>
            <w:noProof/>
            <w:webHidden/>
          </w:rPr>
          <w:tab/>
        </w:r>
        <w:r>
          <w:rPr>
            <w:noProof/>
            <w:webHidden/>
          </w:rPr>
          <w:fldChar w:fldCharType="begin"/>
        </w:r>
        <w:r>
          <w:rPr>
            <w:noProof/>
            <w:webHidden/>
          </w:rPr>
          <w:instrText xml:space="preserve"> PAGEREF _Toc367105217 \h </w:instrText>
        </w:r>
        <w:r>
          <w:rPr>
            <w:noProof/>
          </w:rPr>
        </w:r>
        <w:r>
          <w:rPr>
            <w:noProof/>
            <w:webHidden/>
          </w:rPr>
          <w:fldChar w:fldCharType="separate"/>
        </w:r>
        <w:r>
          <w:rPr>
            <w:noProof/>
            <w:webHidden/>
          </w:rPr>
          <w:t>3</w:t>
        </w:r>
        <w:r>
          <w:rPr>
            <w:noProof/>
            <w:webHidden/>
          </w:rPr>
          <w:fldChar w:fldCharType="end"/>
        </w:r>
      </w:hyperlink>
    </w:p>
    <w:p w:rsidR="00D4483D" w:rsidRDefault="00D4483D">
      <w:pPr>
        <w:pStyle w:val="TOC2"/>
        <w:rPr>
          <w:rFonts w:ascii="Calibri" w:hAnsi="Calibri"/>
          <w:noProof/>
          <w:sz w:val="22"/>
          <w:szCs w:val="22"/>
        </w:rPr>
      </w:pPr>
      <w:hyperlink w:anchor="_Toc367105218" w:history="1">
        <w:r w:rsidRPr="00056E64">
          <w:rPr>
            <w:rStyle w:val="Hyperlink"/>
            <w:noProof/>
          </w:rPr>
          <w:t>III.1.</w:t>
        </w:r>
        <w:r>
          <w:rPr>
            <w:rFonts w:ascii="Calibri" w:hAnsi="Calibri"/>
            <w:noProof/>
            <w:sz w:val="22"/>
            <w:szCs w:val="22"/>
          </w:rPr>
          <w:tab/>
        </w:r>
        <w:r w:rsidRPr="00056E64">
          <w:rPr>
            <w:rStyle w:val="Hyperlink"/>
            <w:noProof/>
          </w:rPr>
          <w:t>Relève des compteurs et périodes de facturation</w:t>
        </w:r>
        <w:r>
          <w:rPr>
            <w:noProof/>
            <w:webHidden/>
          </w:rPr>
          <w:tab/>
        </w:r>
        <w:r>
          <w:rPr>
            <w:noProof/>
            <w:webHidden/>
          </w:rPr>
          <w:fldChar w:fldCharType="begin"/>
        </w:r>
        <w:r>
          <w:rPr>
            <w:noProof/>
            <w:webHidden/>
          </w:rPr>
          <w:instrText xml:space="preserve"> PAGEREF _Toc367105218 \h </w:instrText>
        </w:r>
        <w:r>
          <w:rPr>
            <w:noProof/>
          </w:rPr>
        </w:r>
        <w:r>
          <w:rPr>
            <w:noProof/>
            <w:webHidden/>
          </w:rPr>
          <w:fldChar w:fldCharType="separate"/>
        </w:r>
        <w:r>
          <w:rPr>
            <w:noProof/>
            <w:webHidden/>
          </w:rPr>
          <w:t>3</w:t>
        </w:r>
        <w:r>
          <w:rPr>
            <w:noProof/>
            <w:webHidden/>
          </w:rPr>
          <w:fldChar w:fldCharType="end"/>
        </w:r>
      </w:hyperlink>
    </w:p>
    <w:p w:rsidR="00D4483D" w:rsidRDefault="00D4483D">
      <w:pPr>
        <w:pStyle w:val="TOC2"/>
        <w:rPr>
          <w:rFonts w:ascii="Calibri" w:hAnsi="Calibri"/>
          <w:noProof/>
          <w:sz w:val="22"/>
          <w:szCs w:val="22"/>
        </w:rPr>
      </w:pPr>
      <w:hyperlink w:anchor="_Toc367105219" w:history="1">
        <w:r w:rsidRPr="00056E64">
          <w:rPr>
            <w:rStyle w:val="Hyperlink"/>
            <w:noProof/>
          </w:rPr>
          <w:t>III.2.</w:t>
        </w:r>
        <w:r>
          <w:rPr>
            <w:rFonts w:ascii="Calibri" w:hAnsi="Calibri"/>
            <w:noProof/>
            <w:sz w:val="22"/>
            <w:szCs w:val="22"/>
          </w:rPr>
          <w:tab/>
        </w:r>
        <w:r w:rsidRPr="00056E64">
          <w:rPr>
            <w:rStyle w:val="Hyperlink"/>
            <w:noProof/>
          </w:rPr>
          <w:t>Impayés</w:t>
        </w:r>
        <w:r>
          <w:rPr>
            <w:noProof/>
            <w:webHidden/>
          </w:rPr>
          <w:tab/>
        </w:r>
        <w:r>
          <w:rPr>
            <w:noProof/>
            <w:webHidden/>
          </w:rPr>
          <w:tab/>
        </w:r>
        <w:r>
          <w:rPr>
            <w:noProof/>
            <w:webHidden/>
          </w:rPr>
          <w:fldChar w:fldCharType="begin"/>
        </w:r>
        <w:r>
          <w:rPr>
            <w:noProof/>
            <w:webHidden/>
          </w:rPr>
          <w:instrText xml:space="preserve"> PAGEREF _Toc367105219 \h </w:instrText>
        </w:r>
        <w:r>
          <w:rPr>
            <w:noProof/>
          </w:rPr>
        </w:r>
        <w:r>
          <w:rPr>
            <w:noProof/>
            <w:webHidden/>
          </w:rPr>
          <w:fldChar w:fldCharType="separate"/>
        </w:r>
        <w:r>
          <w:rPr>
            <w:noProof/>
            <w:webHidden/>
          </w:rPr>
          <w:t>3</w:t>
        </w:r>
        <w:r>
          <w:rPr>
            <w:noProof/>
            <w:webHidden/>
          </w:rPr>
          <w:fldChar w:fldCharType="end"/>
        </w:r>
      </w:hyperlink>
    </w:p>
    <w:p w:rsidR="00D4483D" w:rsidRDefault="00D4483D">
      <w:pPr>
        <w:pStyle w:val="TOC2"/>
        <w:rPr>
          <w:rFonts w:ascii="Calibri" w:hAnsi="Calibri"/>
          <w:noProof/>
          <w:sz w:val="22"/>
          <w:szCs w:val="22"/>
        </w:rPr>
      </w:pPr>
      <w:hyperlink w:anchor="_Toc367105220" w:history="1">
        <w:r w:rsidRPr="00056E64">
          <w:rPr>
            <w:rStyle w:val="Hyperlink"/>
            <w:noProof/>
          </w:rPr>
          <w:t>III.3.</w:t>
        </w:r>
        <w:r>
          <w:rPr>
            <w:rFonts w:ascii="Calibri" w:hAnsi="Calibri"/>
            <w:noProof/>
            <w:sz w:val="22"/>
            <w:szCs w:val="22"/>
          </w:rPr>
          <w:tab/>
        </w:r>
        <w:r w:rsidRPr="00056E64">
          <w:rPr>
            <w:rStyle w:val="Hyperlink"/>
            <w:noProof/>
          </w:rPr>
          <w:t>Réfactions de factures</w:t>
        </w:r>
        <w:r>
          <w:rPr>
            <w:noProof/>
            <w:webHidden/>
          </w:rPr>
          <w:tab/>
        </w:r>
        <w:r>
          <w:rPr>
            <w:noProof/>
            <w:webHidden/>
          </w:rPr>
          <w:fldChar w:fldCharType="begin"/>
        </w:r>
        <w:r>
          <w:rPr>
            <w:noProof/>
            <w:webHidden/>
          </w:rPr>
          <w:instrText xml:space="preserve"> PAGEREF _Toc367105220 \h </w:instrText>
        </w:r>
        <w:r>
          <w:rPr>
            <w:noProof/>
          </w:rPr>
        </w:r>
        <w:r>
          <w:rPr>
            <w:noProof/>
            <w:webHidden/>
          </w:rPr>
          <w:fldChar w:fldCharType="separate"/>
        </w:r>
        <w:r>
          <w:rPr>
            <w:noProof/>
            <w:webHidden/>
          </w:rPr>
          <w:t>3</w:t>
        </w:r>
        <w:r>
          <w:rPr>
            <w:noProof/>
            <w:webHidden/>
          </w:rPr>
          <w:fldChar w:fldCharType="end"/>
        </w:r>
      </w:hyperlink>
    </w:p>
    <w:p w:rsidR="00D4483D" w:rsidRDefault="00D4483D">
      <w:pPr>
        <w:pStyle w:val="TOC2"/>
        <w:rPr>
          <w:rFonts w:ascii="Calibri" w:hAnsi="Calibri"/>
          <w:noProof/>
          <w:sz w:val="22"/>
          <w:szCs w:val="22"/>
        </w:rPr>
      </w:pPr>
      <w:hyperlink w:anchor="_Toc367105221" w:history="1">
        <w:r w:rsidRPr="00056E64">
          <w:rPr>
            <w:rStyle w:val="Hyperlink"/>
            <w:noProof/>
          </w:rPr>
          <w:t>III.4.</w:t>
        </w:r>
        <w:r>
          <w:rPr>
            <w:rFonts w:ascii="Calibri" w:hAnsi="Calibri"/>
            <w:noProof/>
            <w:sz w:val="22"/>
            <w:szCs w:val="22"/>
          </w:rPr>
          <w:tab/>
        </w:r>
        <w:r w:rsidRPr="00056E64">
          <w:rPr>
            <w:rStyle w:val="Hyperlink"/>
            <w:noProof/>
          </w:rPr>
          <w:t>Réclamations clients</w:t>
        </w:r>
        <w:r>
          <w:rPr>
            <w:noProof/>
            <w:webHidden/>
          </w:rPr>
          <w:tab/>
        </w:r>
        <w:r>
          <w:rPr>
            <w:noProof/>
            <w:webHidden/>
          </w:rPr>
          <w:fldChar w:fldCharType="begin"/>
        </w:r>
        <w:r>
          <w:rPr>
            <w:noProof/>
            <w:webHidden/>
          </w:rPr>
          <w:instrText xml:space="preserve"> PAGEREF _Toc367105221 \h </w:instrText>
        </w:r>
        <w:r>
          <w:rPr>
            <w:noProof/>
          </w:rPr>
        </w:r>
        <w:r>
          <w:rPr>
            <w:noProof/>
            <w:webHidden/>
          </w:rPr>
          <w:fldChar w:fldCharType="separate"/>
        </w:r>
        <w:r>
          <w:rPr>
            <w:noProof/>
            <w:webHidden/>
          </w:rPr>
          <w:t>3</w:t>
        </w:r>
        <w:r>
          <w:rPr>
            <w:noProof/>
            <w:webHidden/>
          </w:rPr>
          <w:fldChar w:fldCharType="end"/>
        </w:r>
      </w:hyperlink>
    </w:p>
    <w:p w:rsidR="00D4483D" w:rsidRDefault="00D4483D">
      <w:pPr>
        <w:pStyle w:val="TOC2"/>
        <w:rPr>
          <w:rFonts w:ascii="Calibri" w:hAnsi="Calibri"/>
          <w:noProof/>
          <w:sz w:val="22"/>
          <w:szCs w:val="22"/>
        </w:rPr>
      </w:pPr>
      <w:hyperlink w:anchor="_Toc367105222" w:history="1">
        <w:r w:rsidRPr="00056E64">
          <w:rPr>
            <w:rStyle w:val="Hyperlink"/>
            <w:noProof/>
          </w:rPr>
          <w:t>III.5.</w:t>
        </w:r>
        <w:r>
          <w:rPr>
            <w:rFonts w:ascii="Calibri" w:hAnsi="Calibri"/>
            <w:noProof/>
            <w:sz w:val="22"/>
            <w:szCs w:val="22"/>
          </w:rPr>
          <w:tab/>
        </w:r>
        <w:r w:rsidRPr="00056E64">
          <w:rPr>
            <w:rStyle w:val="Hyperlink"/>
            <w:noProof/>
          </w:rPr>
          <w:t>Déclaration des sources, puits et forages privés et les ouvrages de récupération de pluie</w:t>
        </w:r>
        <w:r>
          <w:rPr>
            <w:noProof/>
            <w:webHidden/>
          </w:rPr>
          <w:tab/>
        </w:r>
        <w:r>
          <w:rPr>
            <w:noProof/>
            <w:webHidden/>
          </w:rPr>
          <w:tab/>
        </w:r>
        <w:r>
          <w:rPr>
            <w:noProof/>
            <w:webHidden/>
          </w:rPr>
          <w:fldChar w:fldCharType="begin"/>
        </w:r>
        <w:r>
          <w:rPr>
            <w:noProof/>
            <w:webHidden/>
          </w:rPr>
          <w:instrText xml:space="preserve"> PAGEREF _Toc367105222 \h </w:instrText>
        </w:r>
        <w:r>
          <w:rPr>
            <w:noProof/>
          </w:rPr>
        </w:r>
        <w:r>
          <w:rPr>
            <w:noProof/>
            <w:webHidden/>
          </w:rPr>
          <w:fldChar w:fldCharType="separate"/>
        </w:r>
        <w:r>
          <w:rPr>
            <w:noProof/>
            <w:webHidden/>
          </w:rPr>
          <w:t>3</w:t>
        </w:r>
        <w:r>
          <w:rPr>
            <w:noProof/>
            <w:webHidden/>
          </w:rPr>
          <w:fldChar w:fldCharType="end"/>
        </w:r>
      </w:hyperlink>
    </w:p>
    <w:p w:rsidR="00D4483D" w:rsidRDefault="00D4483D">
      <w:pPr>
        <w:pStyle w:val="TOC1"/>
        <w:tabs>
          <w:tab w:val="left" w:pos="840"/>
          <w:tab w:val="right" w:leader="dot" w:pos="9062"/>
        </w:tabs>
        <w:rPr>
          <w:rFonts w:ascii="Calibri" w:hAnsi="Calibri"/>
          <w:noProof/>
          <w:sz w:val="22"/>
          <w:szCs w:val="22"/>
        </w:rPr>
      </w:pPr>
      <w:hyperlink w:anchor="_Toc367105224" w:history="1">
        <w:r w:rsidRPr="00056E64">
          <w:rPr>
            <w:rStyle w:val="Hyperlink"/>
            <w:noProof/>
          </w:rPr>
          <w:t>IV.</w:t>
        </w:r>
        <w:r>
          <w:rPr>
            <w:rFonts w:ascii="Calibri" w:hAnsi="Calibri"/>
            <w:noProof/>
            <w:sz w:val="22"/>
            <w:szCs w:val="22"/>
          </w:rPr>
          <w:tab/>
        </w:r>
        <w:r w:rsidRPr="00056E64">
          <w:rPr>
            <w:rStyle w:val="Hyperlink"/>
            <w:noProof/>
          </w:rPr>
          <w:t>Aspects financiers</w:t>
        </w:r>
        <w:r>
          <w:rPr>
            <w:noProof/>
            <w:webHidden/>
          </w:rPr>
          <w:tab/>
        </w:r>
        <w:r>
          <w:rPr>
            <w:noProof/>
            <w:webHidden/>
          </w:rPr>
          <w:fldChar w:fldCharType="begin"/>
        </w:r>
        <w:r>
          <w:rPr>
            <w:noProof/>
            <w:webHidden/>
          </w:rPr>
          <w:instrText xml:space="preserve"> PAGEREF _Toc367105224 \h </w:instrText>
        </w:r>
        <w:r>
          <w:rPr>
            <w:noProof/>
          </w:rPr>
        </w:r>
        <w:r>
          <w:rPr>
            <w:noProof/>
            <w:webHidden/>
          </w:rPr>
          <w:fldChar w:fldCharType="separate"/>
        </w:r>
        <w:r>
          <w:rPr>
            <w:noProof/>
            <w:webHidden/>
          </w:rPr>
          <w:t>3</w:t>
        </w:r>
        <w:r>
          <w:rPr>
            <w:noProof/>
            <w:webHidden/>
          </w:rPr>
          <w:fldChar w:fldCharType="end"/>
        </w:r>
      </w:hyperlink>
    </w:p>
    <w:p w:rsidR="00D4483D" w:rsidRDefault="00D4483D">
      <w:pPr>
        <w:pStyle w:val="TOC2"/>
        <w:rPr>
          <w:rFonts w:ascii="Calibri" w:hAnsi="Calibri"/>
          <w:noProof/>
          <w:sz w:val="22"/>
          <w:szCs w:val="22"/>
        </w:rPr>
      </w:pPr>
      <w:hyperlink w:anchor="_Toc367105225" w:history="1">
        <w:r w:rsidRPr="00056E64">
          <w:rPr>
            <w:rStyle w:val="Hyperlink"/>
            <w:noProof/>
          </w:rPr>
          <w:t>IV.1.</w:t>
        </w:r>
        <w:r>
          <w:rPr>
            <w:rFonts w:ascii="Calibri" w:hAnsi="Calibri"/>
            <w:noProof/>
            <w:sz w:val="22"/>
            <w:szCs w:val="22"/>
          </w:rPr>
          <w:tab/>
        </w:r>
        <w:r w:rsidRPr="00056E64">
          <w:rPr>
            <w:rStyle w:val="Hyperlink"/>
            <w:noProof/>
          </w:rPr>
          <w:t>Tarifs de l’eau potable</w:t>
        </w:r>
        <w:r>
          <w:rPr>
            <w:noProof/>
            <w:webHidden/>
          </w:rPr>
          <w:tab/>
        </w:r>
        <w:r>
          <w:rPr>
            <w:noProof/>
            <w:webHidden/>
          </w:rPr>
          <w:fldChar w:fldCharType="begin"/>
        </w:r>
        <w:r>
          <w:rPr>
            <w:noProof/>
            <w:webHidden/>
          </w:rPr>
          <w:instrText xml:space="preserve"> PAGEREF _Toc367105225 \h </w:instrText>
        </w:r>
        <w:r>
          <w:rPr>
            <w:noProof/>
          </w:rPr>
        </w:r>
        <w:r>
          <w:rPr>
            <w:noProof/>
            <w:webHidden/>
          </w:rPr>
          <w:fldChar w:fldCharType="separate"/>
        </w:r>
        <w:r>
          <w:rPr>
            <w:noProof/>
            <w:webHidden/>
          </w:rPr>
          <w:t>3</w:t>
        </w:r>
        <w:r>
          <w:rPr>
            <w:noProof/>
            <w:webHidden/>
          </w:rPr>
          <w:fldChar w:fldCharType="end"/>
        </w:r>
      </w:hyperlink>
    </w:p>
    <w:p w:rsidR="00D4483D" w:rsidRDefault="00D4483D">
      <w:pPr>
        <w:pStyle w:val="TOC2"/>
        <w:rPr>
          <w:rFonts w:ascii="Calibri" w:hAnsi="Calibri"/>
          <w:noProof/>
          <w:sz w:val="22"/>
          <w:szCs w:val="22"/>
        </w:rPr>
      </w:pPr>
      <w:hyperlink w:anchor="_Toc367105226" w:history="1">
        <w:r w:rsidRPr="00056E64">
          <w:rPr>
            <w:rStyle w:val="Hyperlink"/>
            <w:noProof/>
          </w:rPr>
          <w:t>IV.2.</w:t>
        </w:r>
        <w:r>
          <w:rPr>
            <w:rFonts w:ascii="Calibri" w:hAnsi="Calibri"/>
            <w:noProof/>
            <w:sz w:val="22"/>
            <w:szCs w:val="22"/>
          </w:rPr>
          <w:tab/>
        </w:r>
        <w:r w:rsidRPr="00056E64">
          <w:rPr>
            <w:rStyle w:val="Hyperlink"/>
            <w:noProof/>
          </w:rPr>
          <w:t>Analyse de l’équilibre général du service</w:t>
        </w:r>
        <w:r>
          <w:rPr>
            <w:noProof/>
            <w:webHidden/>
          </w:rPr>
          <w:tab/>
        </w:r>
        <w:r>
          <w:rPr>
            <w:noProof/>
            <w:webHidden/>
          </w:rPr>
          <w:fldChar w:fldCharType="begin"/>
        </w:r>
        <w:r>
          <w:rPr>
            <w:noProof/>
            <w:webHidden/>
          </w:rPr>
          <w:instrText xml:space="preserve"> PAGEREF _Toc367105226 \h </w:instrText>
        </w:r>
        <w:r>
          <w:rPr>
            <w:noProof/>
          </w:rPr>
        </w:r>
        <w:r>
          <w:rPr>
            <w:noProof/>
            <w:webHidden/>
          </w:rPr>
          <w:fldChar w:fldCharType="separate"/>
        </w:r>
        <w:r>
          <w:rPr>
            <w:noProof/>
            <w:webHidden/>
          </w:rPr>
          <w:t>3</w:t>
        </w:r>
        <w:r>
          <w:rPr>
            <w:noProof/>
            <w:webHidden/>
          </w:rPr>
          <w:fldChar w:fldCharType="end"/>
        </w:r>
      </w:hyperlink>
    </w:p>
    <w:p w:rsidR="00D4483D" w:rsidRDefault="00D4483D">
      <w:pPr>
        <w:pStyle w:val="TOC2"/>
        <w:rPr>
          <w:rFonts w:ascii="Calibri" w:hAnsi="Calibri"/>
          <w:noProof/>
          <w:sz w:val="22"/>
          <w:szCs w:val="22"/>
        </w:rPr>
      </w:pPr>
      <w:hyperlink w:anchor="_Toc367105227" w:history="1">
        <w:r w:rsidRPr="00056E64">
          <w:rPr>
            <w:rStyle w:val="Hyperlink"/>
            <w:noProof/>
          </w:rPr>
          <w:t>IV.3.</w:t>
        </w:r>
        <w:r>
          <w:rPr>
            <w:rFonts w:ascii="Calibri" w:hAnsi="Calibri"/>
            <w:noProof/>
            <w:sz w:val="22"/>
            <w:szCs w:val="22"/>
          </w:rPr>
          <w:tab/>
        </w:r>
        <w:r w:rsidRPr="00056E64">
          <w:rPr>
            <w:rStyle w:val="Hyperlink"/>
            <w:noProof/>
          </w:rPr>
          <w:t>Charges du service</w:t>
        </w:r>
        <w:r>
          <w:rPr>
            <w:noProof/>
            <w:webHidden/>
          </w:rPr>
          <w:tab/>
        </w:r>
        <w:r>
          <w:rPr>
            <w:noProof/>
            <w:webHidden/>
          </w:rPr>
          <w:fldChar w:fldCharType="begin"/>
        </w:r>
        <w:r>
          <w:rPr>
            <w:noProof/>
            <w:webHidden/>
          </w:rPr>
          <w:instrText xml:space="preserve"> PAGEREF _Toc367105227 \h </w:instrText>
        </w:r>
        <w:r>
          <w:rPr>
            <w:noProof/>
          </w:rPr>
        </w:r>
        <w:r>
          <w:rPr>
            <w:noProof/>
            <w:webHidden/>
          </w:rPr>
          <w:fldChar w:fldCharType="separate"/>
        </w:r>
        <w:r>
          <w:rPr>
            <w:noProof/>
            <w:webHidden/>
          </w:rPr>
          <w:t>3</w:t>
        </w:r>
        <w:r>
          <w:rPr>
            <w:noProof/>
            <w:webHidden/>
          </w:rPr>
          <w:fldChar w:fldCharType="end"/>
        </w:r>
      </w:hyperlink>
    </w:p>
    <w:p w:rsidR="00D4483D" w:rsidRDefault="00D4483D">
      <w:pPr>
        <w:pStyle w:val="TOC2"/>
        <w:rPr>
          <w:rFonts w:ascii="Calibri" w:hAnsi="Calibri"/>
          <w:noProof/>
          <w:sz w:val="22"/>
          <w:szCs w:val="22"/>
        </w:rPr>
      </w:pPr>
      <w:hyperlink w:anchor="_Toc367105228" w:history="1">
        <w:r w:rsidRPr="00056E64">
          <w:rPr>
            <w:rStyle w:val="Hyperlink"/>
            <w:noProof/>
          </w:rPr>
          <w:t>IV.4.</w:t>
        </w:r>
        <w:r>
          <w:rPr>
            <w:rFonts w:ascii="Calibri" w:hAnsi="Calibri"/>
            <w:noProof/>
            <w:sz w:val="22"/>
            <w:szCs w:val="22"/>
          </w:rPr>
          <w:tab/>
        </w:r>
        <w:r w:rsidRPr="00056E64">
          <w:rPr>
            <w:rStyle w:val="Hyperlink"/>
            <w:noProof/>
          </w:rPr>
          <w:t>Bilan relatif au renouvellement</w:t>
        </w:r>
        <w:r>
          <w:rPr>
            <w:noProof/>
            <w:webHidden/>
          </w:rPr>
          <w:tab/>
        </w:r>
        <w:r>
          <w:rPr>
            <w:noProof/>
            <w:webHidden/>
          </w:rPr>
          <w:fldChar w:fldCharType="begin"/>
        </w:r>
        <w:r>
          <w:rPr>
            <w:noProof/>
            <w:webHidden/>
          </w:rPr>
          <w:instrText xml:space="preserve"> PAGEREF _Toc367105228 \h </w:instrText>
        </w:r>
        <w:r>
          <w:rPr>
            <w:noProof/>
          </w:rPr>
        </w:r>
        <w:r>
          <w:rPr>
            <w:noProof/>
            <w:webHidden/>
          </w:rPr>
          <w:fldChar w:fldCharType="separate"/>
        </w:r>
        <w:r>
          <w:rPr>
            <w:noProof/>
            <w:webHidden/>
          </w:rPr>
          <w:t>3</w:t>
        </w:r>
        <w:r>
          <w:rPr>
            <w:noProof/>
            <w:webHidden/>
          </w:rPr>
          <w:fldChar w:fldCharType="end"/>
        </w:r>
      </w:hyperlink>
    </w:p>
    <w:p w:rsidR="00D4483D" w:rsidRDefault="00D4483D">
      <w:pPr>
        <w:pStyle w:val="TOC2"/>
        <w:rPr>
          <w:rFonts w:ascii="Calibri" w:hAnsi="Calibri"/>
          <w:noProof/>
          <w:sz w:val="22"/>
          <w:szCs w:val="22"/>
        </w:rPr>
      </w:pPr>
      <w:hyperlink w:anchor="_Toc367105229" w:history="1">
        <w:r w:rsidRPr="00056E64">
          <w:rPr>
            <w:rStyle w:val="Hyperlink"/>
            <w:noProof/>
          </w:rPr>
          <w:t>IV.5.</w:t>
        </w:r>
        <w:r>
          <w:rPr>
            <w:rFonts w:ascii="Calibri" w:hAnsi="Calibri"/>
            <w:noProof/>
            <w:sz w:val="22"/>
            <w:szCs w:val="22"/>
          </w:rPr>
          <w:tab/>
        </w:r>
        <w:r w:rsidRPr="00056E64">
          <w:rPr>
            <w:rStyle w:val="Hyperlink"/>
            <w:noProof/>
          </w:rPr>
          <w:t>Investissements spécifiques du contrat</w:t>
        </w:r>
        <w:r>
          <w:rPr>
            <w:noProof/>
            <w:webHidden/>
          </w:rPr>
          <w:tab/>
        </w:r>
        <w:r>
          <w:rPr>
            <w:noProof/>
            <w:webHidden/>
          </w:rPr>
          <w:fldChar w:fldCharType="begin"/>
        </w:r>
        <w:r>
          <w:rPr>
            <w:noProof/>
            <w:webHidden/>
          </w:rPr>
          <w:instrText xml:space="preserve"> PAGEREF _Toc367105229 \h </w:instrText>
        </w:r>
        <w:r>
          <w:rPr>
            <w:noProof/>
          </w:rPr>
        </w:r>
        <w:r>
          <w:rPr>
            <w:noProof/>
            <w:webHidden/>
          </w:rPr>
          <w:fldChar w:fldCharType="separate"/>
        </w:r>
        <w:r>
          <w:rPr>
            <w:noProof/>
            <w:webHidden/>
          </w:rPr>
          <w:t>3</w:t>
        </w:r>
        <w:r>
          <w:rPr>
            <w:noProof/>
            <w:webHidden/>
          </w:rPr>
          <w:fldChar w:fldCharType="end"/>
        </w:r>
      </w:hyperlink>
    </w:p>
    <w:p w:rsidR="00D4483D" w:rsidRDefault="00D4483D">
      <w:pPr>
        <w:pStyle w:val="TOC2"/>
        <w:rPr>
          <w:rFonts w:ascii="Calibri" w:hAnsi="Calibri"/>
          <w:noProof/>
          <w:sz w:val="22"/>
          <w:szCs w:val="22"/>
        </w:rPr>
      </w:pPr>
      <w:hyperlink w:anchor="_Toc367105230" w:history="1">
        <w:r w:rsidRPr="00056E64">
          <w:rPr>
            <w:rStyle w:val="Hyperlink"/>
            <w:noProof/>
          </w:rPr>
          <w:t>IV.6.</w:t>
        </w:r>
        <w:r>
          <w:rPr>
            <w:rFonts w:ascii="Calibri" w:hAnsi="Calibri"/>
            <w:noProof/>
            <w:sz w:val="22"/>
            <w:szCs w:val="22"/>
          </w:rPr>
          <w:tab/>
        </w:r>
        <w:r w:rsidRPr="00056E64">
          <w:rPr>
            <w:rStyle w:val="Hyperlink"/>
            <w:noProof/>
          </w:rPr>
          <w:t>Biens de reprise</w:t>
        </w:r>
        <w:r>
          <w:rPr>
            <w:noProof/>
            <w:webHidden/>
          </w:rPr>
          <w:tab/>
        </w:r>
        <w:r>
          <w:rPr>
            <w:noProof/>
            <w:webHidden/>
          </w:rPr>
          <w:tab/>
        </w:r>
        <w:r>
          <w:rPr>
            <w:noProof/>
            <w:webHidden/>
          </w:rPr>
          <w:fldChar w:fldCharType="begin"/>
        </w:r>
        <w:r>
          <w:rPr>
            <w:noProof/>
            <w:webHidden/>
          </w:rPr>
          <w:instrText xml:space="preserve"> PAGEREF _Toc367105230 \h </w:instrText>
        </w:r>
        <w:r>
          <w:rPr>
            <w:noProof/>
          </w:rPr>
        </w:r>
        <w:r>
          <w:rPr>
            <w:noProof/>
            <w:webHidden/>
          </w:rPr>
          <w:fldChar w:fldCharType="separate"/>
        </w:r>
        <w:r>
          <w:rPr>
            <w:noProof/>
            <w:webHidden/>
          </w:rPr>
          <w:t>3</w:t>
        </w:r>
        <w:r>
          <w:rPr>
            <w:noProof/>
            <w:webHidden/>
          </w:rPr>
          <w:fldChar w:fldCharType="end"/>
        </w:r>
      </w:hyperlink>
    </w:p>
    <w:p w:rsidR="00D4483D" w:rsidRDefault="00D4483D">
      <w:pPr>
        <w:pStyle w:val="TOC1"/>
        <w:tabs>
          <w:tab w:val="left" w:pos="840"/>
          <w:tab w:val="right" w:leader="dot" w:pos="9062"/>
        </w:tabs>
        <w:rPr>
          <w:rFonts w:ascii="Calibri" w:hAnsi="Calibri"/>
          <w:noProof/>
          <w:sz w:val="22"/>
          <w:szCs w:val="22"/>
        </w:rPr>
      </w:pPr>
      <w:hyperlink w:anchor="_Toc367105231" w:history="1">
        <w:r w:rsidRPr="00056E64">
          <w:rPr>
            <w:rStyle w:val="Hyperlink"/>
            <w:noProof/>
          </w:rPr>
          <w:t>V.</w:t>
        </w:r>
        <w:r>
          <w:rPr>
            <w:rFonts w:ascii="Calibri" w:hAnsi="Calibri"/>
            <w:noProof/>
            <w:sz w:val="22"/>
            <w:szCs w:val="22"/>
          </w:rPr>
          <w:tab/>
        </w:r>
        <w:r w:rsidRPr="00056E64">
          <w:rPr>
            <w:rStyle w:val="Hyperlink"/>
            <w:noProof/>
          </w:rPr>
          <w:t>Aspects administratifs et organisationnels</w:t>
        </w:r>
        <w:r>
          <w:rPr>
            <w:noProof/>
            <w:webHidden/>
          </w:rPr>
          <w:tab/>
        </w:r>
        <w:r>
          <w:rPr>
            <w:noProof/>
            <w:webHidden/>
          </w:rPr>
          <w:fldChar w:fldCharType="begin"/>
        </w:r>
        <w:r>
          <w:rPr>
            <w:noProof/>
            <w:webHidden/>
          </w:rPr>
          <w:instrText xml:space="preserve"> PAGEREF _Toc367105231 \h </w:instrText>
        </w:r>
        <w:r>
          <w:rPr>
            <w:noProof/>
          </w:rPr>
        </w:r>
        <w:r>
          <w:rPr>
            <w:noProof/>
            <w:webHidden/>
          </w:rPr>
          <w:fldChar w:fldCharType="separate"/>
        </w:r>
        <w:r>
          <w:rPr>
            <w:noProof/>
            <w:webHidden/>
          </w:rPr>
          <w:t>3</w:t>
        </w:r>
        <w:r>
          <w:rPr>
            <w:noProof/>
            <w:webHidden/>
          </w:rPr>
          <w:fldChar w:fldCharType="end"/>
        </w:r>
      </w:hyperlink>
    </w:p>
    <w:p w:rsidR="00D4483D" w:rsidRDefault="00D4483D">
      <w:pPr>
        <w:pStyle w:val="TOC2"/>
        <w:rPr>
          <w:rFonts w:ascii="Calibri" w:hAnsi="Calibri"/>
          <w:noProof/>
          <w:sz w:val="22"/>
          <w:szCs w:val="22"/>
        </w:rPr>
      </w:pPr>
      <w:hyperlink w:anchor="_Toc367105232" w:history="1">
        <w:r w:rsidRPr="00056E64">
          <w:rPr>
            <w:rStyle w:val="Hyperlink"/>
            <w:noProof/>
          </w:rPr>
          <w:t>V.1.</w:t>
        </w:r>
        <w:r>
          <w:rPr>
            <w:rFonts w:ascii="Calibri" w:hAnsi="Calibri"/>
            <w:noProof/>
            <w:sz w:val="22"/>
            <w:szCs w:val="22"/>
          </w:rPr>
          <w:tab/>
        </w:r>
        <w:r w:rsidRPr="00056E64">
          <w:rPr>
            <w:rStyle w:val="Hyperlink"/>
            <w:noProof/>
          </w:rPr>
          <w:t>Transfert de personnel</w:t>
        </w:r>
        <w:r>
          <w:rPr>
            <w:noProof/>
            <w:webHidden/>
          </w:rPr>
          <w:tab/>
        </w:r>
        <w:r>
          <w:rPr>
            <w:noProof/>
            <w:webHidden/>
          </w:rPr>
          <w:fldChar w:fldCharType="begin"/>
        </w:r>
        <w:r>
          <w:rPr>
            <w:noProof/>
            <w:webHidden/>
          </w:rPr>
          <w:instrText xml:space="preserve"> PAGEREF _Toc367105232 \h </w:instrText>
        </w:r>
        <w:r>
          <w:rPr>
            <w:noProof/>
          </w:rPr>
        </w:r>
        <w:r>
          <w:rPr>
            <w:noProof/>
            <w:webHidden/>
          </w:rPr>
          <w:fldChar w:fldCharType="separate"/>
        </w:r>
        <w:r>
          <w:rPr>
            <w:noProof/>
            <w:webHidden/>
          </w:rPr>
          <w:t>3</w:t>
        </w:r>
        <w:r>
          <w:rPr>
            <w:noProof/>
            <w:webHidden/>
          </w:rPr>
          <w:fldChar w:fldCharType="end"/>
        </w:r>
      </w:hyperlink>
    </w:p>
    <w:p w:rsidR="00D4483D" w:rsidRDefault="00D4483D">
      <w:pPr>
        <w:pStyle w:val="TOC2"/>
        <w:rPr>
          <w:rFonts w:ascii="Calibri" w:hAnsi="Calibri"/>
          <w:noProof/>
          <w:sz w:val="22"/>
          <w:szCs w:val="22"/>
        </w:rPr>
      </w:pPr>
      <w:hyperlink w:anchor="_Toc367105233" w:history="1">
        <w:r w:rsidRPr="00056E64">
          <w:rPr>
            <w:rStyle w:val="Hyperlink"/>
            <w:noProof/>
          </w:rPr>
          <w:t>V.2.</w:t>
        </w:r>
        <w:r>
          <w:rPr>
            <w:rFonts w:ascii="Calibri" w:hAnsi="Calibri"/>
            <w:noProof/>
            <w:sz w:val="22"/>
            <w:szCs w:val="22"/>
          </w:rPr>
          <w:tab/>
        </w:r>
        <w:r w:rsidRPr="00056E64">
          <w:rPr>
            <w:rStyle w:val="Hyperlink"/>
            <w:noProof/>
          </w:rPr>
          <w:t>Contrats et conventions en cours</w:t>
        </w:r>
        <w:r>
          <w:rPr>
            <w:noProof/>
            <w:webHidden/>
          </w:rPr>
          <w:tab/>
        </w:r>
        <w:r>
          <w:rPr>
            <w:noProof/>
            <w:webHidden/>
          </w:rPr>
          <w:fldChar w:fldCharType="begin"/>
        </w:r>
        <w:r>
          <w:rPr>
            <w:noProof/>
            <w:webHidden/>
          </w:rPr>
          <w:instrText xml:space="preserve"> PAGEREF _Toc367105233 \h </w:instrText>
        </w:r>
        <w:r>
          <w:rPr>
            <w:noProof/>
          </w:rPr>
        </w:r>
        <w:r>
          <w:rPr>
            <w:noProof/>
            <w:webHidden/>
          </w:rPr>
          <w:fldChar w:fldCharType="separate"/>
        </w:r>
        <w:r>
          <w:rPr>
            <w:noProof/>
            <w:webHidden/>
          </w:rPr>
          <w:t>3</w:t>
        </w:r>
        <w:r>
          <w:rPr>
            <w:noProof/>
            <w:webHidden/>
          </w:rPr>
          <w:fldChar w:fldCharType="end"/>
        </w:r>
      </w:hyperlink>
    </w:p>
    <w:p w:rsidR="00D4483D" w:rsidRDefault="00D4483D">
      <w:pPr>
        <w:pStyle w:val="TOC1"/>
        <w:tabs>
          <w:tab w:val="left" w:pos="840"/>
          <w:tab w:val="right" w:leader="dot" w:pos="9062"/>
        </w:tabs>
        <w:rPr>
          <w:rFonts w:ascii="Calibri" w:hAnsi="Calibri"/>
          <w:noProof/>
          <w:sz w:val="22"/>
          <w:szCs w:val="22"/>
        </w:rPr>
      </w:pPr>
      <w:hyperlink w:anchor="_Toc367105234" w:history="1">
        <w:r w:rsidRPr="00056E64">
          <w:rPr>
            <w:rStyle w:val="Hyperlink"/>
            <w:noProof/>
          </w:rPr>
          <w:t>VI.</w:t>
        </w:r>
        <w:r>
          <w:rPr>
            <w:rFonts w:ascii="Calibri" w:hAnsi="Calibri"/>
            <w:noProof/>
            <w:sz w:val="22"/>
            <w:szCs w:val="22"/>
          </w:rPr>
          <w:tab/>
        </w:r>
        <w:r w:rsidRPr="00056E64">
          <w:rPr>
            <w:rStyle w:val="Hyperlink"/>
            <w:noProof/>
          </w:rPr>
          <w:t>Synthèse et pistes d’évolution et d’amélioration du service</w:t>
        </w:r>
        <w:r>
          <w:rPr>
            <w:noProof/>
            <w:webHidden/>
          </w:rPr>
          <w:tab/>
        </w:r>
        <w:r>
          <w:rPr>
            <w:noProof/>
            <w:webHidden/>
          </w:rPr>
          <w:fldChar w:fldCharType="begin"/>
        </w:r>
        <w:r>
          <w:rPr>
            <w:noProof/>
            <w:webHidden/>
          </w:rPr>
          <w:instrText xml:space="preserve"> PAGEREF _Toc367105234 \h </w:instrText>
        </w:r>
        <w:r>
          <w:rPr>
            <w:noProof/>
          </w:rPr>
        </w:r>
        <w:r>
          <w:rPr>
            <w:noProof/>
            <w:webHidden/>
          </w:rPr>
          <w:fldChar w:fldCharType="separate"/>
        </w:r>
        <w:r>
          <w:rPr>
            <w:noProof/>
            <w:webHidden/>
          </w:rPr>
          <w:t>3</w:t>
        </w:r>
        <w:r>
          <w:rPr>
            <w:noProof/>
            <w:webHidden/>
          </w:rPr>
          <w:fldChar w:fldCharType="end"/>
        </w:r>
      </w:hyperlink>
    </w:p>
    <w:p w:rsidR="00D4483D" w:rsidRPr="004D79B2" w:rsidRDefault="00D4483D" w:rsidP="00946EB4">
      <w:r w:rsidRPr="004D79B2">
        <w:fldChar w:fldCharType="end"/>
      </w:r>
    </w:p>
    <w:p w:rsidR="00D4483D" w:rsidRPr="004D79B2" w:rsidRDefault="00D4483D" w:rsidP="00946EB4">
      <w:r w:rsidRPr="004D79B2">
        <w:br w:type="page"/>
      </w:r>
    </w:p>
    <w:p w:rsidR="00D4483D" w:rsidRPr="004D79B2" w:rsidRDefault="00D4483D" w:rsidP="00946EB4">
      <w:pPr>
        <w:pStyle w:val="Heading1"/>
        <w:numPr>
          <w:ilvl w:val="0"/>
          <w:numId w:val="0"/>
        </w:numPr>
        <w:ind w:left="360" w:hanging="360"/>
      </w:pPr>
      <w:bookmarkStart w:id="4" w:name="_Toc367105211"/>
      <w:r w:rsidRPr="004D79B2">
        <w:rPr>
          <w:sz w:val="30"/>
          <w:szCs w:val="30"/>
        </w:rPr>
        <w:t>INTRODUCTION</w:t>
      </w:r>
      <w:bookmarkEnd w:id="4"/>
    </w:p>
    <w:p w:rsidR="00D4483D" w:rsidRPr="004D79B2" w:rsidRDefault="00D4483D" w:rsidP="00946EB4">
      <w:pPr>
        <w:jc w:val="both"/>
      </w:pPr>
    </w:p>
    <w:p w:rsidR="00D4483D" w:rsidRPr="00E15BAD" w:rsidRDefault="00D4483D" w:rsidP="00946EB4">
      <w:pPr>
        <w:jc w:val="both"/>
      </w:pPr>
      <w:r w:rsidRPr="00FD5EE5">
        <w:t xml:space="preserve">Le contrat </w:t>
      </w:r>
      <w:r>
        <w:t xml:space="preserve">de délégation </w:t>
      </w:r>
      <w:r w:rsidRPr="00FD5EE5">
        <w:t xml:space="preserve">du service de distribution d’eau potable </w:t>
      </w:r>
      <w:r>
        <w:t xml:space="preserve">de la Ville de Bois-le-Roi </w:t>
      </w:r>
      <w:r w:rsidRPr="00FD5EE5">
        <w:t>a</w:t>
      </w:r>
      <w:r>
        <w:t>rrive</w:t>
      </w:r>
      <w:r w:rsidRPr="00FD5EE5">
        <w:t xml:space="preserve"> à échéance le 31</w:t>
      </w:r>
      <w:r>
        <w:t> </w:t>
      </w:r>
      <w:r w:rsidRPr="00FD5EE5">
        <w:t xml:space="preserve">décembre </w:t>
      </w:r>
      <w:r>
        <w:t>2014</w:t>
      </w:r>
      <w:r w:rsidRPr="00FD5EE5">
        <w:t>.</w:t>
      </w:r>
    </w:p>
    <w:p w:rsidR="00D4483D" w:rsidRPr="005814D0" w:rsidRDefault="00D4483D" w:rsidP="00946EB4">
      <w:pPr>
        <w:jc w:val="both"/>
        <w:rPr>
          <w:highlight w:val="yellow"/>
        </w:rPr>
      </w:pPr>
    </w:p>
    <w:p w:rsidR="00D4483D" w:rsidRPr="00974F4F" w:rsidRDefault="00D4483D" w:rsidP="00946EB4">
      <w:pPr>
        <w:jc w:val="both"/>
      </w:pPr>
      <w:r>
        <w:t xml:space="preserve">La Collectivité </w:t>
      </w:r>
      <w:r w:rsidRPr="00974F4F">
        <w:t xml:space="preserve">a confié au Cabinet Jean-Raphaël BERT CONSULTANT une mission d’audit de </w:t>
      </w:r>
      <w:r>
        <w:t xml:space="preserve">son </w:t>
      </w:r>
      <w:r w:rsidRPr="00974F4F">
        <w:t xml:space="preserve">contrat de distribution d’eau potable afin d’établir un bilan du service et </w:t>
      </w:r>
      <w:r>
        <w:t xml:space="preserve">d’étudier </w:t>
      </w:r>
      <w:r w:rsidRPr="00974F4F">
        <w:t>le prochain mode de gestion.</w:t>
      </w:r>
    </w:p>
    <w:p w:rsidR="00D4483D" w:rsidRPr="00974F4F" w:rsidRDefault="00D4483D" w:rsidP="00946EB4">
      <w:pPr>
        <w:jc w:val="both"/>
        <w:rPr>
          <w:bCs/>
        </w:rPr>
      </w:pPr>
    </w:p>
    <w:p w:rsidR="00D4483D" w:rsidRPr="00974F4F" w:rsidRDefault="00D4483D" w:rsidP="00946EB4">
      <w:pPr>
        <w:jc w:val="both"/>
        <w:rPr>
          <w:bCs/>
        </w:rPr>
      </w:pPr>
      <w:r w:rsidRPr="00974F4F">
        <w:rPr>
          <w:bCs/>
        </w:rPr>
        <w:t>La conduite de cet audit</w:t>
      </w:r>
      <w:r>
        <w:rPr>
          <w:bCs/>
        </w:rPr>
        <w:t xml:space="preserve">, mené jusqu’à l’exercice 2012 inclus, a </w:t>
      </w:r>
      <w:r w:rsidRPr="00974F4F">
        <w:rPr>
          <w:bCs/>
        </w:rPr>
        <w:t>pour objectif de :</w:t>
      </w:r>
    </w:p>
    <w:p w:rsidR="00D4483D" w:rsidRPr="00974F4F" w:rsidRDefault="00D4483D" w:rsidP="00946EB4">
      <w:pPr>
        <w:jc w:val="both"/>
        <w:rPr>
          <w:bCs/>
        </w:rPr>
      </w:pPr>
    </w:p>
    <w:p w:rsidR="00D4483D" w:rsidRPr="00974F4F" w:rsidRDefault="00D4483D" w:rsidP="00F434FA">
      <w:pPr>
        <w:numPr>
          <w:ilvl w:val="0"/>
          <w:numId w:val="19"/>
        </w:numPr>
        <w:jc w:val="both"/>
      </w:pPr>
      <w:r w:rsidRPr="00974F4F">
        <w:t xml:space="preserve">Recueillir et analyser les données, </w:t>
      </w:r>
    </w:p>
    <w:p w:rsidR="00D4483D" w:rsidRPr="00974F4F" w:rsidRDefault="00D4483D" w:rsidP="00F434FA">
      <w:pPr>
        <w:numPr>
          <w:ilvl w:val="0"/>
          <w:numId w:val="19"/>
        </w:numPr>
        <w:jc w:val="both"/>
      </w:pPr>
      <w:r w:rsidRPr="00974F4F">
        <w:t>Identifier des axes d’amélioration pour la prochaine exploitation,</w:t>
      </w:r>
    </w:p>
    <w:p w:rsidR="00D4483D" w:rsidRPr="00974F4F" w:rsidRDefault="00D4483D" w:rsidP="00F434FA">
      <w:pPr>
        <w:numPr>
          <w:ilvl w:val="0"/>
          <w:numId w:val="19"/>
        </w:numPr>
        <w:jc w:val="both"/>
      </w:pPr>
      <w:r w:rsidRPr="00974F4F">
        <w:t xml:space="preserve">Récapituler l’ensemble des aspects nécessitant un traitement particulier à l’approche de la fin </w:t>
      </w:r>
      <w:r>
        <w:t xml:space="preserve">du </w:t>
      </w:r>
      <w:r w:rsidRPr="00974F4F">
        <w:t>contrat, puis servir de guide pour la mis</w:t>
      </w:r>
      <w:r>
        <w:t>e en œuvre des clauses de fin du</w:t>
      </w:r>
      <w:r w:rsidRPr="00974F4F">
        <w:t xml:space="preserve"> contrat et assurer la continuité avec la mise en œuvre du mode de gestion ultérieur. </w:t>
      </w:r>
    </w:p>
    <w:p w:rsidR="00D4483D" w:rsidRPr="00722BD4" w:rsidRDefault="00D4483D" w:rsidP="00946EB4">
      <w:pPr>
        <w:jc w:val="both"/>
      </w:pPr>
    </w:p>
    <w:p w:rsidR="00D4483D" w:rsidRDefault="00D4483D" w:rsidP="00946EB4">
      <w:pPr>
        <w:pStyle w:val="Heading1"/>
        <w:numPr>
          <w:ilvl w:val="0"/>
          <w:numId w:val="6"/>
        </w:numPr>
        <w:rPr>
          <w:sz w:val="30"/>
          <w:szCs w:val="30"/>
        </w:rPr>
        <w:sectPr w:rsidR="00D4483D" w:rsidSect="00766CA8">
          <w:headerReference w:type="default" r:id="rId10"/>
          <w:footerReference w:type="default" r:id="rId11"/>
          <w:pgSz w:w="11906" w:h="16838"/>
          <w:pgMar w:top="1417" w:right="1417" w:bottom="1417" w:left="1417" w:header="708" w:footer="708" w:gutter="0"/>
          <w:cols w:space="708"/>
          <w:docGrid w:linePitch="360"/>
        </w:sectPr>
      </w:pPr>
    </w:p>
    <w:p w:rsidR="00D4483D" w:rsidRDefault="00D4483D" w:rsidP="002E6768">
      <w:pPr>
        <w:pStyle w:val="Heading1"/>
        <w:numPr>
          <w:ilvl w:val="0"/>
          <w:numId w:val="6"/>
        </w:numPr>
      </w:pPr>
      <w:bookmarkStart w:id="5" w:name="_Toc367105212"/>
      <w:r>
        <w:rPr>
          <w:sz w:val="30"/>
          <w:szCs w:val="30"/>
        </w:rPr>
        <w:t>Présentation générale des contrats</w:t>
      </w:r>
      <w:bookmarkEnd w:id="5"/>
    </w:p>
    <w:p w:rsidR="00D4483D" w:rsidRPr="00D209BE" w:rsidRDefault="00D4483D" w:rsidP="00BB1816">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5"/>
        <w:gridCol w:w="5164"/>
      </w:tblGrid>
      <w:tr w:rsidR="00D4483D" w:rsidTr="00EB738F">
        <w:trPr>
          <w:trHeight w:val="512"/>
        </w:trPr>
        <w:tc>
          <w:tcPr>
            <w:tcW w:w="3885" w:type="dxa"/>
            <w:tcBorders>
              <w:top w:val="nil"/>
              <w:left w:val="nil"/>
            </w:tcBorders>
            <w:vAlign w:val="center"/>
          </w:tcPr>
          <w:p w:rsidR="00D4483D" w:rsidRDefault="00D4483D" w:rsidP="00EB738F">
            <w:pPr>
              <w:jc w:val="center"/>
            </w:pPr>
          </w:p>
        </w:tc>
        <w:tc>
          <w:tcPr>
            <w:tcW w:w="5164" w:type="dxa"/>
            <w:shd w:val="clear" w:color="auto" w:fill="D9D9D9"/>
            <w:vAlign w:val="center"/>
          </w:tcPr>
          <w:p w:rsidR="00D4483D" w:rsidRPr="00EB738F" w:rsidRDefault="00D4483D" w:rsidP="00EB738F">
            <w:pPr>
              <w:jc w:val="center"/>
              <w:rPr>
                <w:b/>
              </w:rPr>
            </w:pPr>
            <w:r w:rsidRPr="00EB738F">
              <w:rPr>
                <w:b/>
              </w:rPr>
              <w:t>Caractéristiques principales du contrat</w:t>
            </w:r>
          </w:p>
        </w:tc>
      </w:tr>
      <w:tr w:rsidR="00D4483D" w:rsidTr="00EB738F">
        <w:trPr>
          <w:trHeight w:val="256"/>
        </w:trPr>
        <w:tc>
          <w:tcPr>
            <w:tcW w:w="3885" w:type="dxa"/>
            <w:vAlign w:val="center"/>
          </w:tcPr>
          <w:p w:rsidR="00D4483D" w:rsidRPr="00EB738F" w:rsidRDefault="00D4483D" w:rsidP="001C00D1">
            <w:pPr>
              <w:rPr>
                <w:b/>
              </w:rPr>
            </w:pPr>
            <w:r w:rsidRPr="00EB738F">
              <w:rPr>
                <w:b/>
              </w:rPr>
              <w:t>Type de contrat</w:t>
            </w:r>
          </w:p>
        </w:tc>
        <w:tc>
          <w:tcPr>
            <w:tcW w:w="5164" w:type="dxa"/>
            <w:vAlign w:val="center"/>
          </w:tcPr>
          <w:p w:rsidR="00D4483D" w:rsidRDefault="00D4483D" w:rsidP="00EB738F">
            <w:pPr>
              <w:jc w:val="center"/>
            </w:pPr>
            <w:r>
              <w:t>Délégation de service public</w:t>
            </w:r>
          </w:p>
        </w:tc>
      </w:tr>
      <w:tr w:rsidR="00D4483D" w:rsidTr="00EB738F">
        <w:trPr>
          <w:trHeight w:val="256"/>
        </w:trPr>
        <w:tc>
          <w:tcPr>
            <w:tcW w:w="3885" w:type="dxa"/>
            <w:vAlign w:val="center"/>
          </w:tcPr>
          <w:p w:rsidR="00D4483D" w:rsidRPr="00EB738F" w:rsidRDefault="00D4483D" w:rsidP="001C00D1">
            <w:pPr>
              <w:rPr>
                <w:b/>
              </w:rPr>
            </w:pPr>
            <w:r w:rsidRPr="00EB738F">
              <w:rPr>
                <w:b/>
              </w:rPr>
              <w:t>Exploitant</w:t>
            </w:r>
          </w:p>
        </w:tc>
        <w:tc>
          <w:tcPr>
            <w:tcW w:w="5164" w:type="dxa"/>
            <w:vAlign w:val="center"/>
          </w:tcPr>
          <w:p w:rsidR="00D4483D" w:rsidRDefault="00D4483D" w:rsidP="00EB738F">
            <w:pPr>
              <w:jc w:val="center"/>
            </w:pPr>
            <w:r>
              <w:t>Société des Eaux de Melun</w:t>
            </w:r>
          </w:p>
        </w:tc>
      </w:tr>
      <w:tr w:rsidR="00D4483D" w:rsidTr="00EB738F">
        <w:trPr>
          <w:trHeight w:val="529"/>
        </w:trPr>
        <w:tc>
          <w:tcPr>
            <w:tcW w:w="3885" w:type="dxa"/>
            <w:vAlign w:val="center"/>
          </w:tcPr>
          <w:p w:rsidR="00D4483D" w:rsidRPr="00EB738F" w:rsidRDefault="00D4483D" w:rsidP="001C00D1">
            <w:pPr>
              <w:rPr>
                <w:b/>
              </w:rPr>
            </w:pPr>
            <w:r w:rsidRPr="00EB738F">
              <w:rPr>
                <w:b/>
              </w:rPr>
              <w:t>Entrée en vigueur du contrat</w:t>
            </w:r>
          </w:p>
        </w:tc>
        <w:tc>
          <w:tcPr>
            <w:tcW w:w="5164" w:type="dxa"/>
            <w:vAlign w:val="center"/>
          </w:tcPr>
          <w:p w:rsidR="00D4483D" w:rsidRDefault="00D4483D" w:rsidP="00EB738F">
            <w:pPr>
              <w:jc w:val="center"/>
            </w:pPr>
            <w:r>
              <w:t>1</w:t>
            </w:r>
            <w:r w:rsidRPr="00EB738F">
              <w:rPr>
                <w:vertAlign w:val="superscript"/>
              </w:rPr>
              <w:t>er</w:t>
            </w:r>
            <w:r>
              <w:t xml:space="preserve"> janvier 2000</w:t>
            </w:r>
          </w:p>
        </w:tc>
      </w:tr>
      <w:tr w:rsidR="00D4483D" w:rsidTr="00EB738F">
        <w:trPr>
          <w:trHeight w:val="256"/>
        </w:trPr>
        <w:tc>
          <w:tcPr>
            <w:tcW w:w="3885" w:type="dxa"/>
            <w:vAlign w:val="center"/>
          </w:tcPr>
          <w:p w:rsidR="00D4483D" w:rsidRPr="00EB738F" w:rsidRDefault="00D4483D" w:rsidP="001C00D1">
            <w:pPr>
              <w:rPr>
                <w:b/>
              </w:rPr>
            </w:pPr>
            <w:r w:rsidRPr="00EB738F">
              <w:rPr>
                <w:b/>
              </w:rPr>
              <w:t>Echéance du contrat</w:t>
            </w:r>
          </w:p>
        </w:tc>
        <w:tc>
          <w:tcPr>
            <w:tcW w:w="5164" w:type="dxa"/>
            <w:vAlign w:val="center"/>
          </w:tcPr>
          <w:p w:rsidR="00D4483D" w:rsidRDefault="00D4483D" w:rsidP="00EB738F">
            <w:pPr>
              <w:jc w:val="center"/>
            </w:pPr>
            <w:r>
              <w:t>31 décembre 2014</w:t>
            </w:r>
          </w:p>
        </w:tc>
      </w:tr>
      <w:tr w:rsidR="00D4483D" w:rsidTr="00EB738F">
        <w:trPr>
          <w:trHeight w:val="595"/>
        </w:trPr>
        <w:tc>
          <w:tcPr>
            <w:tcW w:w="3885" w:type="dxa"/>
            <w:vAlign w:val="center"/>
          </w:tcPr>
          <w:p w:rsidR="00D4483D" w:rsidRPr="00EB738F" w:rsidRDefault="00D4483D" w:rsidP="001C00D1">
            <w:pPr>
              <w:rPr>
                <w:b/>
              </w:rPr>
            </w:pPr>
            <w:r w:rsidRPr="00EB738F">
              <w:rPr>
                <w:b/>
              </w:rPr>
              <w:t>Avenants</w:t>
            </w:r>
          </w:p>
        </w:tc>
        <w:tc>
          <w:tcPr>
            <w:tcW w:w="5164" w:type="dxa"/>
            <w:vAlign w:val="center"/>
          </w:tcPr>
          <w:p w:rsidR="00D4483D" w:rsidRPr="00EB738F" w:rsidRDefault="00D4483D" w:rsidP="00EB738F">
            <w:pPr>
              <w:jc w:val="both"/>
              <w:rPr>
                <w:sz w:val="22"/>
                <w:szCs w:val="22"/>
              </w:rPr>
            </w:pPr>
            <w:r>
              <w:t>Au 30/07/2005 : Intégration du nouveauforage et loi SRU</w:t>
            </w:r>
          </w:p>
        </w:tc>
      </w:tr>
    </w:tbl>
    <w:p w:rsidR="00D4483D" w:rsidRDefault="00D4483D" w:rsidP="00BB1816"/>
    <w:p w:rsidR="00D4483D" w:rsidRPr="00BB1816" w:rsidRDefault="00D4483D" w:rsidP="00BB1816"/>
    <w:p w:rsidR="00D4483D" w:rsidRPr="004D79B2" w:rsidRDefault="00D4483D" w:rsidP="002E6768">
      <w:pPr>
        <w:pStyle w:val="Heading1"/>
        <w:numPr>
          <w:ilvl w:val="0"/>
          <w:numId w:val="6"/>
        </w:numPr>
      </w:pPr>
      <w:bookmarkStart w:id="6" w:name="_Toc367105213"/>
      <w:r w:rsidRPr="002E6768">
        <w:rPr>
          <w:sz w:val="30"/>
          <w:szCs w:val="30"/>
        </w:rPr>
        <w:t>Aspects techniques</w:t>
      </w:r>
      <w:bookmarkEnd w:id="6"/>
    </w:p>
    <w:p w:rsidR="00D4483D" w:rsidRDefault="00D4483D" w:rsidP="002E6768">
      <w:pPr>
        <w:pStyle w:val="Heading2"/>
        <w:numPr>
          <w:ilvl w:val="1"/>
          <w:numId w:val="6"/>
        </w:numPr>
      </w:pPr>
      <w:bookmarkStart w:id="7" w:name="_Toc367105214"/>
      <w:r w:rsidRPr="004D79B2">
        <w:t>Assiette du service</w:t>
      </w:r>
      <w:bookmarkEnd w:id="7"/>
    </w:p>
    <w:p w:rsidR="00D4483D" w:rsidRPr="00E55305" w:rsidRDefault="00D4483D" w:rsidP="00E55305"/>
    <w:p w:rsidR="00D4483D" w:rsidRDefault="00D4483D" w:rsidP="00946EB4">
      <w:pPr>
        <w:pStyle w:val="Datelettre"/>
        <w:spacing w:after="0"/>
        <w:ind w:left="0" w:right="3"/>
        <w:jc w:val="both"/>
        <w:rPr>
          <w:noProof w:val="0"/>
          <w:sz w:val="24"/>
          <w:lang w:val="fr-FR"/>
        </w:rPr>
      </w:pPr>
      <w:r w:rsidRPr="004D79B2">
        <w:rPr>
          <w:noProof w:val="0"/>
          <w:sz w:val="24"/>
          <w:lang w:val="fr-FR"/>
        </w:rPr>
        <w:t>Le tableau ci-dessous présente l’évolution de l’assiette du service eau potable :</w:t>
      </w:r>
    </w:p>
    <w:p w:rsidR="00D4483D" w:rsidRPr="004D79B2" w:rsidRDefault="00D4483D" w:rsidP="00946EB4">
      <w:pPr>
        <w:pStyle w:val="Datelettre"/>
        <w:spacing w:after="0"/>
        <w:ind w:left="0" w:right="3"/>
        <w:jc w:val="both"/>
        <w:rPr>
          <w:noProof w:val="0"/>
          <w:sz w:val="24"/>
          <w:lang w:val="fr-FR"/>
        </w:rPr>
      </w:pPr>
    </w:p>
    <w:tbl>
      <w:tblPr>
        <w:tblW w:w="4886" w:type="pct"/>
        <w:tblLayout w:type="fixed"/>
        <w:tblCellMar>
          <w:left w:w="70" w:type="dxa"/>
          <w:right w:w="70" w:type="dxa"/>
        </w:tblCellMar>
        <w:tblLook w:val="0000"/>
      </w:tblPr>
      <w:tblGrid>
        <w:gridCol w:w="3192"/>
        <w:gridCol w:w="1138"/>
        <w:gridCol w:w="1136"/>
        <w:gridCol w:w="1138"/>
        <w:gridCol w:w="1136"/>
        <w:gridCol w:w="1262"/>
      </w:tblGrid>
      <w:tr w:rsidR="00D4483D" w:rsidRPr="0057193F" w:rsidTr="0057193F">
        <w:trPr>
          <w:trHeight w:val="64"/>
        </w:trPr>
        <w:tc>
          <w:tcPr>
            <w:tcW w:w="1773" w:type="pct"/>
            <w:tcBorders>
              <w:bottom w:val="single" w:sz="4" w:space="0" w:color="auto"/>
              <w:right w:val="single" w:sz="4" w:space="0" w:color="auto"/>
            </w:tcBorders>
            <w:noWrap/>
            <w:vAlign w:val="center"/>
          </w:tcPr>
          <w:p w:rsidR="00D4483D" w:rsidRPr="0057193F" w:rsidRDefault="00D4483D" w:rsidP="00766CA8">
            <w:pPr>
              <w:rPr>
                <w:b/>
                <w:bCs/>
              </w:rPr>
            </w:pPr>
          </w:p>
        </w:tc>
        <w:tc>
          <w:tcPr>
            <w:tcW w:w="632" w:type="pct"/>
            <w:tcBorders>
              <w:top w:val="single" w:sz="4" w:space="0" w:color="auto"/>
              <w:left w:val="single" w:sz="4" w:space="0" w:color="auto"/>
              <w:bottom w:val="single" w:sz="4" w:space="0" w:color="auto"/>
              <w:right w:val="single" w:sz="4" w:space="0" w:color="auto"/>
            </w:tcBorders>
            <w:shd w:val="clear" w:color="auto" w:fill="D9D9D9"/>
            <w:vAlign w:val="center"/>
          </w:tcPr>
          <w:p w:rsidR="00D4483D" w:rsidRPr="0057193F" w:rsidRDefault="00D4483D" w:rsidP="009010D2">
            <w:pPr>
              <w:jc w:val="center"/>
              <w:rPr>
                <w:b/>
                <w:bCs/>
              </w:rPr>
            </w:pPr>
            <w:r w:rsidRPr="0057193F">
              <w:rPr>
                <w:b/>
                <w:bCs/>
              </w:rPr>
              <w:t>2008</w:t>
            </w:r>
          </w:p>
        </w:tc>
        <w:tc>
          <w:tcPr>
            <w:tcW w:w="631" w:type="pct"/>
            <w:tcBorders>
              <w:top w:val="single" w:sz="4" w:space="0" w:color="auto"/>
              <w:left w:val="nil"/>
              <w:bottom w:val="single" w:sz="4" w:space="0" w:color="auto"/>
              <w:right w:val="single" w:sz="4" w:space="0" w:color="auto"/>
            </w:tcBorders>
            <w:shd w:val="clear" w:color="auto" w:fill="D9D9D9"/>
            <w:vAlign w:val="center"/>
          </w:tcPr>
          <w:p w:rsidR="00D4483D" w:rsidRPr="0057193F" w:rsidRDefault="00D4483D" w:rsidP="009010D2">
            <w:pPr>
              <w:jc w:val="center"/>
              <w:rPr>
                <w:b/>
                <w:bCs/>
              </w:rPr>
            </w:pPr>
            <w:r w:rsidRPr="0057193F">
              <w:rPr>
                <w:b/>
                <w:bCs/>
              </w:rPr>
              <w:t>2009</w:t>
            </w:r>
          </w:p>
        </w:tc>
        <w:tc>
          <w:tcPr>
            <w:tcW w:w="632" w:type="pct"/>
            <w:tcBorders>
              <w:top w:val="single" w:sz="4" w:space="0" w:color="auto"/>
              <w:left w:val="nil"/>
              <w:bottom w:val="single" w:sz="4" w:space="0" w:color="auto"/>
              <w:right w:val="single" w:sz="4" w:space="0" w:color="auto"/>
            </w:tcBorders>
            <w:shd w:val="clear" w:color="auto" w:fill="D9D9D9"/>
            <w:vAlign w:val="center"/>
          </w:tcPr>
          <w:p w:rsidR="00D4483D" w:rsidRPr="0057193F" w:rsidRDefault="00D4483D" w:rsidP="009010D2">
            <w:pPr>
              <w:jc w:val="center"/>
              <w:rPr>
                <w:b/>
                <w:bCs/>
              </w:rPr>
            </w:pPr>
            <w:r w:rsidRPr="0057193F">
              <w:rPr>
                <w:b/>
                <w:bCs/>
              </w:rPr>
              <w:t>20</w:t>
            </w:r>
            <w:r>
              <w:rPr>
                <w:b/>
                <w:bCs/>
              </w:rPr>
              <w:t>10</w:t>
            </w:r>
          </w:p>
        </w:tc>
        <w:tc>
          <w:tcPr>
            <w:tcW w:w="631" w:type="pct"/>
            <w:tcBorders>
              <w:top w:val="single" w:sz="4" w:space="0" w:color="auto"/>
              <w:left w:val="nil"/>
              <w:bottom w:val="single" w:sz="4" w:space="0" w:color="auto"/>
              <w:right w:val="single" w:sz="4" w:space="0" w:color="auto"/>
            </w:tcBorders>
            <w:shd w:val="clear" w:color="auto" w:fill="D9D9D9"/>
            <w:vAlign w:val="center"/>
          </w:tcPr>
          <w:p w:rsidR="00D4483D" w:rsidRPr="0057193F" w:rsidRDefault="00D4483D" w:rsidP="009010D2">
            <w:pPr>
              <w:jc w:val="center"/>
              <w:rPr>
                <w:b/>
                <w:bCs/>
              </w:rPr>
            </w:pPr>
            <w:r>
              <w:rPr>
                <w:b/>
                <w:bCs/>
              </w:rPr>
              <w:t>2011</w:t>
            </w:r>
          </w:p>
        </w:tc>
        <w:tc>
          <w:tcPr>
            <w:tcW w:w="701" w:type="pct"/>
            <w:tcBorders>
              <w:top w:val="single" w:sz="4" w:space="0" w:color="auto"/>
              <w:left w:val="nil"/>
              <w:bottom w:val="single" w:sz="4" w:space="0" w:color="auto"/>
              <w:right w:val="single" w:sz="4" w:space="0" w:color="auto"/>
            </w:tcBorders>
            <w:shd w:val="clear" w:color="auto" w:fill="D9D9D9"/>
            <w:vAlign w:val="center"/>
          </w:tcPr>
          <w:p w:rsidR="00D4483D" w:rsidRPr="0057193F" w:rsidRDefault="00D4483D" w:rsidP="005306E4">
            <w:pPr>
              <w:jc w:val="center"/>
              <w:rPr>
                <w:b/>
                <w:bCs/>
              </w:rPr>
            </w:pPr>
            <w:r>
              <w:rPr>
                <w:b/>
                <w:bCs/>
              </w:rPr>
              <w:t>2012</w:t>
            </w:r>
          </w:p>
        </w:tc>
      </w:tr>
      <w:tr w:rsidR="00D4483D" w:rsidRPr="0057193F" w:rsidTr="00DA72B6">
        <w:trPr>
          <w:trHeight w:val="150"/>
        </w:trPr>
        <w:tc>
          <w:tcPr>
            <w:tcW w:w="1773" w:type="pct"/>
            <w:tcBorders>
              <w:top w:val="nil"/>
              <w:left w:val="single" w:sz="4" w:space="0" w:color="auto"/>
              <w:bottom w:val="single" w:sz="4" w:space="0" w:color="auto"/>
              <w:right w:val="single" w:sz="4" w:space="0" w:color="auto"/>
            </w:tcBorders>
            <w:vAlign w:val="center"/>
          </w:tcPr>
          <w:p w:rsidR="00D4483D" w:rsidRPr="0057193F" w:rsidRDefault="00D4483D" w:rsidP="00766CA8">
            <w:pPr>
              <w:rPr>
                <w:b/>
              </w:rPr>
            </w:pPr>
            <w:r w:rsidRPr="0057193F">
              <w:rPr>
                <w:b/>
              </w:rPr>
              <w:t>Abonnés eau potable</w:t>
            </w:r>
          </w:p>
        </w:tc>
        <w:tc>
          <w:tcPr>
            <w:tcW w:w="632" w:type="pct"/>
            <w:tcBorders>
              <w:top w:val="nil"/>
              <w:left w:val="single" w:sz="4" w:space="0" w:color="auto"/>
              <w:bottom w:val="single" w:sz="4" w:space="0" w:color="auto"/>
              <w:right w:val="single" w:sz="4" w:space="0" w:color="auto"/>
            </w:tcBorders>
            <w:vAlign w:val="center"/>
          </w:tcPr>
          <w:p w:rsidR="00D4483D" w:rsidRPr="00DA72B6" w:rsidRDefault="00D4483D" w:rsidP="00DA72B6">
            <w:pPr>
              <w:jc w:val="center"/>
              <w:rPr>
                <w:b/>
              </w:rPr>
            </w:pPr>
            <w:r w:rsidRPr="00DA72B6">
              <w:rPr>
                <w:b/>
              </w:rPr>
              <w:t>2 429</w:t>
            </w:r>
          </w:p>
        </w:tc>
        <w:tc>
          <w:tcPr>
            <w:tcW w:w="631" w:type="pct"/>
            <w:tcBorders>
              <w:top w:val="nil"/>
              <w:left w:val="nil"/>
              <w:bottom w:val="single" w:sz="4" w:space="0" w:color="auto"/>
              <w:right w:val="single" w:sz="4" w:space="0" w:color="auto"/>
            </w:tcBorders>
            <w:vAlign w:val="center"/>
          </w:tcPr>
          <w:p w:rsidR="00D4483D" w:rsidRPr="00DA72B6" w:rsidRDefault="00D4483D" w:rsidP="00DA72B6">
            <w:pPr>
              <w:jc w:val="center"/>
              <w:rPr>
                <w:b/>
              </w:rPr>
            </w:pPr>
            <w:r w:rsidRPr="00DA72B6">
              <w:rPr>
                <w:b/>
              </w:rPr>
              <w:t>2 444</w:t>
            </w:r>
          </w:p>
        </w:tc>
        <w:tc>
          <w:tcPr>
            <w:tcW w:w="632" w:type="pct"/>
            <w:tcBorders>
              <w:top w:val="nil"/>
              <w:left w:val="nil"/>
              <w:bottom w:val="single" w:sz="4" w:space="0" w:color="auto"/>
              <w:right w:val="single" w:sz="4" w:space="0" w:color="auto"/>
            </w:tcBorders>
            <w:vAlign w:val="center"/>
          </w:tcPr>
          <w:p w:rsidR="00D4483D" w:rsidRPr="00DA72B6" w:rsidRDefault="00D4483D" w:rsidP="00DA72B6">
            <w:pPr>
              <w:jc w:val="center"/>
              <w:rPr>
                <w:b/>
              </w:rPr>
            </w:pPr>
            <w:r w:rsidRPr="00DA72B6">
              <w:rPr>
                <w:b/>
              </w:rPr>
              <w:t>2 466</w:t>
            </w:r>
          </w:p>
        </w:tc>
        <w:tc>
          <w:tcPr>
            <w:tcW w:w="631" w:type="pct"/>
            <w:tcBorders>
              <w:top w:val="nil"/>
              <w:left w:val="nil"/>
              <w:bottom w:val="single" w:sz="4" w:space="0" w:color="auto"/>
              <w:right w:val="single" w:sz="4" w:space="0" w:color="auto"/>
            </w:tcBorders>
            <w:vAlign w:val="center"/>
          </w:tcPr>
          <w:p w:rsidR="00D4483D" w:rsidRPr="00DA72B6" w:rsidRDefault="00D4483D" w:rsidP="00DA72B6">
            <w:pPr>
              <w:jc w:val="center"/>
              <w:rPr>
                <w:b/>
              </w:rPr>
            </w:pPr>
            <w:r w:rsidRPr="00DA72B6">
              <w:rPr>
                <w:b/>
              </w:rPr>
              <w:t>2 490</w:t>
            </w:r>
          </w:p>
        </w:tc>
        <w:tc>
          <w:tcPr>
            <w:tcW w:w="701" w:type="pct"/>
            <w:tcBorders>
              <w:top w:val="nil"/>
              <w:left w:val="nil"/>
              <w:bottom w:val="single" w:sz="4" w:space="0" w:color="auto"/>
              <w:right w:val="single" w:sz="4" w:space="0" w:color="auto"/>
            </w:tcBorders>
            <w:vAlign w:val="center"/>
          </w:tcPr>
          <w:p w:rsidR="00D4483D" w:rsidRPr="00DA72B6" w:rsidRDefault="00D4483D" w:rsidP="00DA72B6">
            <w:pPr>
              <w:jc w:val="center"/>
              <w:rPr>
                <w:b/>
              </w:rPr>
            </w:pPr>
            <w:r w:rsidRPr="00DA72B6">
              <w:rPr>
                <w:b/>
              </w:rPr>
              <w:t>2 513</w:t>
            </w:r>
          </w:p>
        </w:tc>
      </w:tr>
      <w:tr w:rsidR="00D4483D" w:rsidRPr="0057193F" w:rsidTr="00DA72B6">
        <w:trPr>
          <w:trHeight w:val="150"/>
        </w:trPr>
        <w:tc>
          <w:tcPr>
            <w:tcW w:w="1773" w:type="pct"/>
            <w:tcBorders>
              <w:top w:val="nil"/>
              <w:left w:val="single" w:sz="4" w:space="0" w:color="auto"/>
              <w:bottom w:val="single" w:sz="4" w:space="0" w:color="auto"/>
              <w:right w:val="single" w:sz="4" w:space="0" w:color="auto"/>
            </w:tcBorders>
            <w:vAlign w:val="center"/>
          </w:tcPr>
          <w:p w:rsidR="00D4483D" w:rsidRPr="00DA72B6" w:rsidRDefault="00D4483D" w:rsidP="00766CA8">
            <w:pPr>
              <w:rPr>
                <w:i/>
              </w:rPr>
            </w:pPr>
            <w:r w:rsidRPr="00DA72B6">
              <w:rPr>
                <w:i/>
                <w:sz w:val="22"/>
              </w:rPr>
              <w:t>dont domestiques</w:t>
            </w:r>
          </w:p>
        </w:tc>
        <w:tc>
          <w:tcPr>
            <w:tcW w:w="632" w:type="pct"/>
            <w:tcBorders>
              <w:top w:val="nil"/>
              <w:left w:val="single" w:sz="4" w:space="0" w:color="auto"/>
              <w:bottom w:val="single" w:sz="4" w:space="0" w:color="auto"/>
              <w:right w:val="single" w:sz="4" w:space="0" w:color="auto"/>
            </w:tcBorders>
            <w:vAlign w:val="center"/>
          </w:tcPr>
          <w:p w:rsidR="00D4483D" w:rsidRPr="00DA72B6" w:rsidRDefault="00D4483D" w:rsidP="00DA72B6">
            <w:pPr>
              <w:jc w:val="center"/>
              <w:rPr>
                <w:i/>
              </w:rPr>
            </w:pPr>
            <w:r w:rsidRPr="00DA72B6">
              <w:rPr>
                <w:i/>
                <w:sz w:val="22"/>
              </w:rPr>
              <w:t>2 390</w:t>
            </w:r>
          </w:p>
        </w:tc>
        <w:tc>
          <w:tcPr>
            <w:tcW w:w="631" w:type="pct"/>
            <w:tcBorders>
              <w:top w:val="nil"/>
              <w:left w:val="nil"/>
              <w:bottom w:val="single" w:sz="4" w:space="0" w:color="auto"/>
              <w:right w:val="single" w:sz="4" w:space="0" w:color="auto"/>
            </w:tcBorders>
            <w:vAlign w:val="center"/>
          </w:tcPr>
          <w:p w:rsidR="00D4483D" w:rsidRPr="00DA72B6" w:rsidRDefault="00D4483D" w:rsidP="00DA72B6">
            <w:pPr>
              <w:jc w:val="center"/>
              <w:rPr>
                <w:i/>
              </w:rPr>
            </w:pPr>
            <w:r w:rsidRPr="00DA72B6">
              <w:rPr>
                <w:i/>
                <w:sz w:val="22"/>
              </w:rPr>
              <w:t>2 406</w:t>
            </w:r>
          </w:p>
        </w:tc>
        <w:tc>
          <w:tcPr>
            <w:tcW w:w="632" w:type="pct"/>
            <w:tcBorders>
              <w:top w:val="nil"/>
              <w:left w:val="nil"/>
              <w:bottom w:val="single" w:sz="4" w:space="0" w:color="auto"/>
              <w:right w:val="single" w:sz="4" w:space="0" w:color="auto"/>
            </w:tcBorders>
            <w:vAlign w:val="center"/>
          </w:tcPr>
          <w:p w:rsidR="00D4483D" w:rsidRPr="00DA72B6" w:rsidRDefault="00D4483D" w:rsidP="00DA72B6">
            <w:pPr>
              <w:jc w:val="center"/>
              <w:rPr>
                <w:i/>
              </w:rPr>
            </w:pPr>
            <w:r w:rsidRPr="00DA72B6">
              <w:rPr>
                <w:i/>
                <w:sz w:val="22"/>
              </w:rPr>
              <w:t>2 429</w:t>
            </w:r>
          </w:p>
        </w:tc>
        <w:tc>
          <w:tcPr>
            <w:tcW w:w="631" w:type="pct"/>
            <w:tcBorders>
              <w:top w:val="nil"/>
              <w:left w:val="nil"/>
              <w:bottom w:val="single" w:sz="4" w:space="0" w:color="auto"/>
              <w:right w:val="single" w:sz="4" w:space="0" w:color="auto"/>
            </w:tcBorders>
            <w:vAlign w:val="center"/>
          </w:tcPr>
          <w:p w:rsidR="00D4483D" w:rsidRPr="00DA72B6" w:rsidRDefault="00D4483D" w:rsidP="00DA72B6">
            <w:pPr>
              <w:jc w:val="center"/>
              <w:rPr>
                <w:i/>
              </w:rPr>
            </w:pPr>
            <w:r w:rsidRPr="00DA72B6">
              <w:rPr>
                <w:i/>
                <w:sz w:val="22"/>
              </w:rPr>
              <w:t>2 454</w:t>
            </w:r>
          </w:p>
        </w:tc>
        <w:tc>
          <w:tcPr>
            <w:tcW w:w="701" w:type="pct"/>
            <w:tcBorders>
              <w:top w:val="nil"/>
              <w:left w:val="nil"/>
              <w:bottom w:val="single" w:sz="4" w:space="0" w:color="auto"/>
              <w:right w:val="single" w:sz="4" w:space="0" w:color="auto"/>
            </w:tcBorders>
            <w:vAlign w:val="center"/>
          </w:tcPr>
          <w:p w:rsidR="00D4483D" w:rsidRPr="00DA72B6" w:rsidRDefault="00D4483D" w:rsidP="00DA72B6">
            <w:pPr>
              <w:jc w:val="center"/>
              <w:rPr>
                <w:i/>
              </w:rPr>
            </w:pPr>
            <w:r w:rsidRPr="00DA72B6">
              <w:rPr>
                <w:i/>
                <w:sz w:val="22"/>
              </w:rPr>
              <w:t>2 478</w:t>
            </w:r>
          </w:p>
        </w:tc>
      </w:tr>
      <w:tr w:rsidR="00D4483D" w:rsidRPr="0057193F" w:rsidTr="00DA72B6">
        <w:trPr>
          <w:trHeight w:val="203"/>
        </w:trPr>
        <w:tc>
          <w:tcPr>
            <w:tcW w:w="1773" w:type="pct"/>
            <w:tcBorders>
              <w:top w:val="single" w:sz="4" w:space="0" w:color="auto"/>
              <w:left w:val="single" w:sz="4" w:space="0" w:color="auto"/>
              <w:bottom w:val="single" w:sz="4" w:space="0" w:color="auto"/>
              <w:right w:val="single" w:sz="4" w:space="0" w:color="auto"/>
            </w:tcBorders>
            <w:noWrap/>
            <w:vAlign w:val="center"/>
          </w:tcPr>
          <w:p w:rsidR="00D4483D" w:rsidRPr="0057193F" w:rsidRDefault="00D4483D" w:rsidP="00766CA8">
            <w:pPr>
              <w:rPr>
                <w:b/>
              </w:rPr>
            </w:pPr>
            <w:r w:rsidRPr="0057193F">
              <w:rPr>
                <w:b/>
              </w:rPr>
              <w:t>Volumes consommés (en m</w:t>
            </w:r>
            <w:r w:rsidRPr="0057193F">
              <w:rPr>
                <w:b/>
                <w:vertAlign w:val="superscript"/>
              </w:rPr>
              <w:t>3</w:t>
            </w:r>
            <w:r w:rsidRPr="0057193F">
              <w:rPr>
                <w:b/>
              </w:rPr>
              <w:t>)</w:t>
            </w:r>
          </w:p>
        </w:tc>
        <w:tc>
          <w:tcPr>
            <w:tcW w:w="632" w:type="pct"/>
            <w:tcBorders>
              <w:top w:val="single" w:sz="4" w:space="0" w:color="auto"/>
              <w:left w:val="single" w:sz="4" w:space="0" w:color="auto"/>
              <w:bottom w:val="single" w:sz="4" w:space="0" w:color="auto"/>
              <w:right w:val="single" w:sz="4" w:space="0" w:color="auto"/>
            </w:tcBorders>
            <w:vAlign w:val="center"/>
          </w:tcPr>
          <w:p w:rsidR="00D4483D" w:rsidRPr="00DA72B6" w:rsidRDefault="00D4483D" w:rsidP="00DA72B6">
            <w:pPr>
              <w:jc w:val="center"/>
              <w:rPr>
                <w:b/>
              </w:rPr>
            </w:pPr>
            <w:r w:rsidRPr="00DA72B6">
              <w:rPr>
                <w:b/>
              </w:rPr>
              <w:t>296 432</w:t>
            </w:r>
          </w:p>
        </w:tc>
        <w:tc>
          <w:tcPr>
            <w:tcW w:w="631" w:type="pct"/>
            <w:tcBorders>
              <w:top w:val="single" w:sz="4" w:space="0" w:color="auto"/>
              <w:left w:val="nil"/>
              <w:bottom w:val="single" w:sz="4" w:space="0" w:color="auto"/>
              <w:right w:val="single" w:sz="4" w:space="0" w:color="auto"/>
            </w:tcBorders>
            <w:vAlign w:val="center"/>
          </w:tcPr>
          <w:p w:rsidR="00D4483D" w:rsidRPr="00DA72B6" w:rsidRDefault="00D4483D" w:rsidP="00DA72B6">
            <w:pPr>
              <w:jc w:val="center"/>
              <w:rPr>
                <w:b/>
              </w:rPr>
            </w:pPr>
            <w:r w:rsidRPr="00DA72B6">
              <w:rPr>
                <w:b/>
              </w:rPr>
              <w:t>306 233</w:t>
            </w:r>
          </w:p>
        </w:tc>
        <w:tc>
          <w:tcPr>
            <w:tcW w:w="632" w:type="pct"/>
            <w:tcBorders>
              <w:top w:val="single" w:sz="4" w:space="0" w:color="auto"/>
              <w:left w:val="nil"/>
              <w:bottom w:val="single" w:sz="4" w:space="0" w:color="auto"/>
              <w:right w:val="single" w:sz="4" w:space="0" w:color="auto"/>
            </w:tcBorders>
            <w:vAlign w:val="center"/>
          </w:tcPr>
          <w:p w:rsidR="00D4483D" w:rsidRPr="00DA72B6" w:rsidRDefault="00D4483D" w:rsidP="00DA72B6">
            <w:pPr>
              <w:jc w:val="center"/>
              <w:rPr>
                <w:b/>
              </w:rPr>
            </w:pPr>
            <w:r w:rsidRPr="00DA72B6">
              <w:rPr>
                <w:b/>
              </w:rPr>
              <w:t>324 619</w:t>
            </w:r>
          </w:p>
        </w:tc>
        <w:tc>
          <w:tcPr>
            <w:tcW w:w="631" w:type="pct"/>
            <w:tcBorders>
              <w:top w:val="single" w:sz="4" w:space="0" w:color="auto"/>
              <w:left w:val="nil"/>
              <w:bottom w:val="single" w:sz="4" w:space="0" w:color="auto"/>
              <w:right w:val="single" w:sz="4" w:space="0" w:color="auto"/>
            </w:tcBorders>
            <w:vAlign w:val="center"/>
          </w:tcPr>
          <w:p w:rsidR="00D4483D" w:rsidRPr="00DA72B6" w:rsidRDefault="00D4483D" w:rsidP="00DA72B6">
            <w:pPr>
              <w:jc w:val="center"/>
              <w:rPr>
                <w:b/>
              </w:rPr>
            </w:pPr>
            <w:r w:rsidRPr="00DA72B6">
              <w:rPr>
                <w:b/>
              </w:rPr>
              <w:t>297 662</w:t>
            </w:r>
          </w:p>
        </w:tc>
        <w:tc>
          <w:tcPr>
            <w:tcW w:w="701" w:type="pct"/>
            <w:tcBorders>
              <w:top w:val="single" w:sz="4" w:space="0" w:color="auto"/>
              <w:left w:val="nil"/>
              <w:bottom w:val="single" w:sz="4" w:space="0" w:color="auto"/>
              <w:right w:val="single" w:sz="4" w:space="0" w:color="auto"/>
            </w:tcBorders>
            <w:vAlign w:val="center"/>
          </w:tcPr>
          <w:p w:rsidR="00D4483D" w:rsidRPr="00DA72B6" w:rsidRDefault="00D4483D" w:rsidP="00DA72B6">
            <w:pPr>
              <w:jc w:val="center"/>
              <w:rPr>
                <w:b/>
              </w:rPr>
            </w:pPr>
            <w:r w:rsidRPr="00DA72B6">
              <w:rPr>
                <w:b/>
              </w:rPr>
              <w:t>302 168</w:t>
            </w:r>
          </w:p>
        </w:tc>
      </w:tr>
      <w:tr w:rsidR="00D4483D" w:rsidRPr="0057193F" w:rsidTr="00DA72B6">
        <w:trPr>
          <w:trHeight w:val="203"/>
        </w:trPr>
        <w:tc>
          <w:tcPr>
            <w:tcW w:w="1773" w:type="pct"/>
            <w:tcBorders>
              <w:top w:val="single" w:sz="4" w:space="0" w:color="auto"/>
              <w:left w:val="single" w:sz="4" w:space="0" w:color="auto"/>
              <w:bottom w:val="single" w:sz="4" w:space="0" w:color="auto"/>
              <w:right w:val="single" w:sz="4" w:space="0" w:color="auto"/>
            </w:tcBorders>
            <w:noWrap/>
            <w:vAlign w:val="center"/>
          </w:tcPr>
          <w:p w:rsidR="00D4483D" w:rsidRPr="00DA72B6" w:rsidRDefault="00D4483D" w:rsidP="00766CA8">
            <w:pPr>
              <w:rPr>
                <w:i/>
              </w:rPr>
            </w:pPr>
            <w:r w:rsidRPr="00DA72B6">
              <w:rPr>
                <w:i/>
                <w:sz w:val="22"/>
              </w:rPr>
              <w:t>dont domestiques</w:t>
            </w:r>
          </w:p>
        </w:tc>
        <w:tc>
          <w:tcPr>
            <w:tcW w:w="632" w:type="pct"/>
            <w:tcBorders>
              <w:top w:val="single" w:sz="4" w:space="0" w:color="auto"/>
              <w:left w:val="single" w:sz="4" w:space="0" w:color="auto"/>
              <w:bottom w:val="single" w:sz="4" w:space="0" w:color="auto"/>
              <w:right w:val="single" w:sz="4" w:space="0" w:color="auto"/>
            </w:tcBorders>
            <w:vAlign w:val="center"/>
          </w:tcPr>
          <w:p w:rsidR="00D4483D" w:rsidRPr="00DA72B6" w:rsidRDefault="00D4483D" w:rsidP="00DA72B6">
            <w:pPr>
              <w:jc w:val="center"/>
              <w:rPr>
                <w:i/>
              </w:rPr>
            </w:pPr>
            <w:r w:rsidRPr="00DA72B6">
              <w:rPr>
                <w:i/>
                <w:sz w:val="22"/>
              </w:rPr>
              <w:t>272 371</w:t>
            </w:r>
          </w:p>
        </w:tc>
        <w:tc>
          <w:tcPr>
            <w:tcW w:w="631" w:type="pct"/>
            <w:tcBorders>
              <w:top w:val="single" w:sz="4" w:space="0" w:color="auto"/>
              <w:left w:val="nil"/>
              <w:bottom w:val="single" w:sz="4" w:space="0" w:color="auto"/>
              <w:right w:val="single" w:sz="4" w:space="0" w:color="auto"/>
            </w:tcBorders>
            <w:vAlign w:val="center"/>
          </w:tcPr>
          <w:p w:rsidR="00D4483D" w:rsidRPr="00DA72B6" w:rsidRDefault="00D4483D" w:rsidP="00DA72B6">
            <w:pPr>
              <w:jc w:val="center"/>
              <w:rPr>
                <w:i/>
              </w:rPr>
            </w:pPr>
            <w:r w:rsidRPr="00DA72B6">
              <w:rPr>
                <w:i/>
                <w:sz w:val="22"/>
              </w:rPr>
              <w:t>268 943</w:t>
            </w:r>
          </w:p>
        </w:tc>
        <w:tc>
          <w:tcPr>
            <w:tcW w:w="632" w:type="pct"/>
            <w:tcBorders>
              <w:top w:val="single" w:sz="4" w:space="0" w:color="auto"/>
              <w:left w:val="nil"/>
              <w:bottom w:val="single" w:sz="4" w:space="0" w:color="auto"/>
              <w:right w:val="single" w:sz="4" w:space="0" w:color="auto"/>
            </w:tcBorders>
            <w:vAlign w:val="center"/>
          </w:tcPr>
          <w:p w:rsidR="00D4483D" w:rsidRPr="00DA72B6" w:rsidRDefault="00D4483D" w:rsidP="00DA72B6">
            <w:pPr>
              <w:jc w:val="center"/>
              <w:rPr>
                <w:i/>
              </w:rPr>
            </w:pPr>
            <w:r w:rsidRPr="00DA72B6">
              <w:rPr>
                <w:i/>
                <w:sz w:val="22"/>
              </w:rPr>
              <w:t>282 693</w:t>
            </w:r>
          </w:p>
        </w:tc>
        <w:tc>
          <w:tcPr>
            <w:tcW w:w="631" w:type="pct"/>
            <w:tcBorders>
              <w:top w:val="single" w:sz="4" w:space="0" w:color="auto"/>
              <w:left w:val="nil"/>
              <w:bottom w:val="single" w:sz="4" w:space="0" w:color="auto"/>
              <w:right w:val="single" w:sz="4" w:space="0" w:color="auto"/>
            </w:tcBorders>
            <w:vAlign w:val="center"/>
          </w:tcPr>
          <w:p w:rsidR="00D4483D" w:rsidRPr="00DA72B6" w:rsidRDefault="00D4483D" w:rsidP="00DA72B6">
            <w:pPr>
              <w:jc w:val="center"/>
              <w:rPr>
                <w:i/>
              </w:rPr>
            </w:pPr>
            <w:r w:rsidRPr="00DA72B6">
              <w:rPr>
                <w:i/>
                <w:sz w:val="22"/>
              </w:rPr>
              <w:t>267 925</w:t>
            </w:r>
          </w:p>
        </w:tc>
        <w:tc>
          <w:tcPr>
            <w:tcW w:w="701" w:type="pct"/>
            <w:tcBorders>
              <w:top w:val="single" w:sz="4" w:space="0" w:color="auto"/>
              <w:left w:val="nil"/>
              <w:bottom w:val="single" w:sz="4" w:space="0" w:color="auto"/>
              <w:right w:val="single" w:sz="4" w:space="0" w:color="auto"/>
            </w:tcBorders>
            <w:vAlign w:val="center"/>
          </w:tcPr>
          <w:p w:rsidR="00D4483D" w:rsidRPr="00DA72B6" w:rsidRDefault="00D4483D" w:rsidP="00DA72B6">
            <w:pPr>
              <w:jc w:val="center"/>
              <w:rPr>
                <w:i/>
              </w:rPr>
            </w:pPr>
            <w:r w:rsidRPr="00DA72B6">
              <w:rPr>
                <w:i/>
                <w:sz w:val="22"/>
              </w:rPr>
              <w:t>271 941</w:t>
            </w:r>
          </w:p>
        </w:tc>
      </w:tr>
      <w:tr w:rsidR="00D4483D" w:rsidRPr="0057193F" w:rsidTr="00DA72B6">
        <w:trPr>
          <w:trHeight w:val="203"/>
        </w:trPr>
        <w:tc>
          <w:tcPr>
            <w:tcW w:w="1773" w:type="pct"/>
            <w:tcBorders>
              <w:top w:val="single" w:sz="4" w:space="0" w:color="auto"/>
              <w:left w:val="single" w:sz="4" w:space="0" w:color="auto"/>
              <w:bottom w:val="single" w:sz="4" w:space="0" w:color="auto"/>
              <w:right w:val="single" w:sz="4" w:space="0" w:color="auto"/>
            </w:tcBorders>
            <w:noWrap/>
            <w:vAlign w:val="center"/>
          </w:tcPr>
          <w:p w:rsidR="00D4483D" w:rsidRPr="0057193F" w:rsidRDefault="00D4483D" w:rsidP="00DA72B6">
            <w:pPr>
              <w:rPr>
                <w:b/>
              </w:rPr>
            </w:pPr>
            <w:r w:rsidRPr="0057193F">
              <w:rPr>
                <w:b/>
              </w:rPr>
              <w:t>Consommation unitaire</w:t>
            </w:r>
            <w:r>
              <w:rPr>
                <w:b/>
              </w:rPr>
              <w:t xml:space="preserve"> (m</w:t>
            </w:r>
            <w:r w:rsidRPr="009004CC">
              <w:rPr>
                <w:b/>
                <w:vertAlign w:val="superscript"/>
              </w:rPr>
              <w:t>3</w:t>
            </w:r>
            <w:r>
              <w:rPr>
                <w:b/>
              </w:rPr>
              <w:t>/abonné)</w:t>
            </w:r>
          </w:p>
        </w:tc>
        <w:tc>
          <w:tcPr>
            <w:tcW w:w="632" w:type="pct"/>
            <w:tcBorders>
              <w:top w:val="single" w:sz="4" w:space="0" w:color="auto"/>
              <w:left w:val="single" w:sz="4" w:space="0" w:color="auto"/>
              <w:bottom w:val="single" w:sz="4" w:space="0" w:color="auto"/>
              <w:right w:val="single" w:sz="4" w:space="0" w:color="auto"/>
            </w:tcBorders>
            <w:vAlign w:val="center"/>
          </w:tcPr>
          <w:p w:rsidR="00D4483D" w:rsidRPr="00DA72B6" w:rsidRDefault="00D4483D" w:rsidP="00DA72B6">
            <w:pPr>
              <w:jc w:val="center"/>
              <w:rPr>
                <w:b/>
              </w:rPr>
            </w:pPr>
            <w:r w:rsidRPr="00DA72B6">
              <w:rPr>
                <w:b/>
              </w:rPr>
              <w:t>122</w:t>
            </w:r>
          </w:p>
        </w:tc>
        <w:tc>
          <w:tcPr>
            <w:tcW w:w="631" w:type="pct"/>
            <w:tcBorders>
              <w:top w:val="single" w:sz="4" w:space="0" w:color="auto"/>
              <w:left w:val="nil"/>
              <w:bottom w:val="single" w:sz="4" w:space="0" w:color="auto"/>
              <w:right w:val="single" w:sz="4" w:space="0" w:color="auto"/>
            </w:tcBorders>
            <w:vAlign w:val="center"/>
          </w:tcPr>
          <w:p w:rsidR="00D4483D" w:rsidRPr="00DA72B6" w:rsidRDefault="00D4483D" w:rsidP="00DA72B6">
            <w:pPr>
              <w:jc w:val="center"/>
              <w:rPr>
                <w:b/>
              </w:rPr>
            </w:pPr>
            <w:r w:rsidRPr="00DA72B6">
              <w:rPr>
                <w:b/>
              </w:rPr>
              <w:t>125</w:t>
            </w:r>
          </w:p>
        </w:tc>
        <w:tc>
          <w:tcPr>
            <w:tcW w:w="632" w:type="pct"/>
            <w:tcBorders>
              <w:top w:val="single" w:sz="4" w:space="0" w:color="auto"/>
              <w:left w:val="nil"/>
              <w:bottom w:val="single" w:sz="4" w:space="0" w:color="auto"/>
              <w:right w:val="single" w:sz="4" w:space="0" w:color="auto"/>
            </w:tcBorders>
            <w:vAlign w:val="center"/>
          </w:tcPr>
          <w:p w:rsidR="00D4483D" w:rsidRPr="00DA72B6" w:rsidRDefault="00D4483D" w:rsidP="00DA72B6">
            <w:pPr>
              <w:jc w:val="center"/>
              <w:rPr>
                <w:b/>
              </w:rPr>
            </w:pPr>
            <w:r w:rsidRPr="00DA72B6">
              <w:rPr>
                <w:b/>
              </w:rPr>
              <w:t>132</w:t>
            </w:r>
          </w:p>
        </w:tc>
        <w:tc>
          <w:tcPr>
            <w:tcW w:w="631" w:type="pct"/>
            <w:tcBorders>
              <w:top w:val="single" w:sz="4" w:space="0" w:color="auto"/>
              <w:left w:val="nil"/>
              <w:bottom w:val="single" w:sz="4" w:space="0" w:color="auto"/>
              <w:right w:val="single" w:sz="4" w:space="0" w:color="auto"/>
            </w:tcBorders>
            <w:vAlign w:val="center"/>
          </w:tcPr>
          <w:p w:rsidR="00D4483D" w:rsidRPr="00DA72B6" w:rsidRDefault="00D4483D" w:rsidP="00DA72B6">
            <w:pPr>
              <w:jc w:val="center"/>
              <w:rPr>
                <w:b/>
              </w:rPr>
            </w:pPr>
            <w:r w:rsidRPr="00DA72B6">
              <w:rPr>
                <w:b/>
              </w:rPr>
              <w:t>120</w:t>
            </w:r>
          </w:p>
        </w:tc>
        <w:tc>
          <w:tcPr>
            <w:tcW w:w="701" w:type="pct"/>
            <w:tcBorders>
              <w:top w:val="single" w:sz="4" w:space="0" w:color="auto"/>
              <w:left w:val="nil"/>
              <w:bottom w:val="single" w:sz="4" w:space="0" w:color="auto"/>
              <w:right w:val="single" w:sz="4" w:space="0" w:color="auto"/>
            </w:tcBorders>
            <w:vAlign w:val="center"/>
          </w:tcPr>
          <w:p w:rsidR="00D4483D" w:rsidRPr="00DA72B6" w:rsidRDefault="00D4483D" w:rsidP="00DA72B6">
            <w:pPr>
              <w:jc w:val="center"/>
              <w:rPr>
                <w:b/>
              </w:rPr>
            </w:pPr>
            <w:r w:rsidRPr="00DA72B6">
              <w:rPr>
                <w:b/>
              </w:rPr>
              <w:t>120</w:t>
            </w:r>
          </w:p>
        </w:tc>
      </w:tr>
      <w:tr w:rsidR="00D4483D" w:rsidRPr="0057193F" w:rsidTr="00DA72B6">
        <w:trPr>
          <w:trHeight w:val="203"/>
        </w:trPr>
        <w:tc>
          <w:tcPr>
            <w:tcW w:w="1773" w:type="pct"/>
            <w:tcBorders>
              <w:top w:val="single" w:sz="4" w:space="0" w:color="auto"/>
              <w:left w:val="single" w:sz="4" w:space="0" w:color="auto"/>
              <w:bottom w:val="single" w:sz="4" w:space="0" w:color="auto"/>
              <w:right w:val="single" w:sz="4" w:space="0" w:color="auto"/>
            </w:tcBorders>
            <w:noWrap/>
            <w:vAlign w:val="center"/>
          </w:tcPr>
          <w:p w:rsidR="00D4483D" w:rsidRPr="00DA72B6" w:rsidRDefault="00D4483D" w:rsidP="00766CA8">
            <w:r w:rsidRPr="00DA72B6">
              <w:rPr>
                <w:i/>
                <w:sz w:val="22"/>
              </w:rPr>
              <w:t>dont domestiques</w:t>
            </w:r>
          </w:p>
        </w:tc>
        <w:tc>
          <w:tcPr>
            <w:tcW w:w="632" w:type="pct"/>
            <w:tcBorders>
              <w:top w:val="single" w:sz="4" w:space="0" w:color="auto"/>
              <w:left w:val="single" w:sz="4" w:space="0" w:color="auto"/>
              <w:bottom w:val="single" w:sz="4" w:space="0" w:color="auto"/>
              <w:right w:val="single" w:sz="4" w:space="0" w:color="auto"/>
            </w:tcBorders>
            <w:vAlign w:val="center"/>
          </w:tcPr>
          <w:p w:rsidR="00D4483D" w:rsidRPr="00DA72B6" w:rsidRDefault="00D4483D" w:rsidP="00DA72B6">
            <w:pPr>
              <w:jc w:val="center"/>
              <w:rPr>
                <w:i/>
              </w:rPr>
            </w:pPr>
            <w:r w:rsidRPr="00DA72B6">
              <w:rPr>
                <w:i/>
                <w:sz w:val="22"/>
              </w:rPr>
              <w:t>114</w:t>
            </w:r>
          </w:p>
        </w:tc>
        <w:tc>
          <w:tcPr>
            <w:tcW w:w="631" w:type="pct"/>
            <w:tcBorders>
              <w:top w:val="single" w:sz="4" w:space="0" w:color="auto"/>
              <w:left w:val="nil"/>
              <w:bottom w:val="single" w:sz="4" w:space="0" w:color="auto"/>
              <w:right w:val="single" w:sz="4" w:space="0" w:color="auto"/>
            </w:tcBorders>
            <w:vAlign w:val="center"/>
          </w:tcPr>
          <w:p w:rsidR="00D4483D" w:rsidRPr="00DA72B6" w:rsidRDefault="00D4483D" w:rsidP="00DA72B6">
            <w:pPr>
              <w:jc w:val="center"/>
              <w:rPr>
                <w:i/>
              </w:rPr>
            </w:pPr>
            <w:r w:rsidRPr="00DA72B6">
              <w:rPr>
                <w:i/>
                <w:sz w:val="22"/>
              </w:rPr>
              <w:t>112</w:t>
            </w:r>
          </w:p>
        </w:tc>
        <w:tc>
          <w:tcPr>
            <w:tcW w:w="632" w:type="pct"/>
            <w:tcBorders>
              <w:top w:val="single" w:sz="4" w:space="0" w:color="auto"/>
              <w:left w:val="nil"/>
              <w:bottom w:val="single" w:sz="4" w:space="0" w:color="auto"/>
              <w:right w:val="single" w:sz="4" w:space="0" w:color="auto"/>
            </w:tcBorders>
            <w:vAlign w:val="center"/>
          </w:tcPr>
          <w:p w:rsidR="00D4483D" w:rsidRPr="00DA72B6" w:rsidRDefault="00D4483D" w:rsidP="00DA72B6">
            <w:pPr>
              <w:jc w:val="center"/>
              <w:rPr>
                <w:i/>
              </w:rPr>
            </w:pPr>
            <w:r w:rsidRPr="00DA72B6">
              <w:rPr>
                <w:i/>
                <w:sz w:val="22"/>
              </w:rPr>
              <w:t>116</w:t>
            </w:r>
          </w:p>
        </w:tc>
        <w:tc>
          <w:tcPr>
            <w:tcW w:w="631" w:type="pct"/>
            <w:tcBorders>
              <w:top w:val="single" w:sz="4" w:space="0" w:color="auto"/>
              <w:left w:val="nil"/>
              <w:bottom w:val="single" w:sz="4" w:space="0" w:color="auto"/>
              <w:right w:val="single" w:sz="4" w:space="0" w:color="auto"/>
            </w:tcBorders>
            <w:vAlign w:val="center"/>
          </w:tcPr>
          <w:p w:rsidR="00D4483D" w:rsidRPr="00DA72B6" w:rsidRDefault="00D4483D" w:rsidP="00DA72B6">
            <w:pPr>
              <w:jc w:val="center"/>
              <w:rPr>
                <w:i/>
              </w:rPr>
            </w:pPr>
            <w:r w:rsidRPr="00DA72B6">
              <w:rPr>
                <w:i/>
                <w:sz w:val="22"/>
              </w:rPr>
              <w:t>109</w:t>
            </w:r>
          </w:p>
        </w:tc>
        <w:tc>
          <w:tcPr>
            <w:tcW w:w="701" w:type="pct"/>
            <w:tcBorders>
              <w:top w:val="single" w:sz="4" w:space="0" w:color="auto"/>
              <w:left w:val="nil"/>
              <w:bottom w:val="single" w:sz="4" w:space="0" w:color="auto"/>
              <w:right w:val="single" w:sz="4" w:space="0" w:color="auto"/>
            </w:tcBorders>
            <w:vAlign w:val="center"/>
          </w:tcPr>
          <w:p w:rsidR="00D4483D" w:rsidRPr="00DA72B6" w:rsidRDefault="00D4483D" w:rsidP="00DA72B6">
            <w:pPr>
              <w:jc w:val="center"/>
              <w:rPr>
                <w:i/>
              </w:rPr>
            </w:pPr>
            <w:r w:rsidRPr="00DA72B6">
              <w:rPr>
                <w:i/>
                <w:sz w:val="22"/>
              </w:rPr>
              <w:t>110</w:t>
            </w:r>
          </w:p>
        </w:tc>
      </w:tr>
    </w:tbl>
    <w:p w:rsidR="00D4483D" w:rsidRPr="004D79B2" w:rsidRDefault="00D4483D" w:rsidP="00946EB4">
      <w:pPr>
        <w:pStyle w:val="Datelettre"/>
        <w:spacing w:after="0"/>
        <w:ind w:left="0" w:right="3"/>
        <w:jc w:val="both"/>
        <w:rPr>
          <w:noProof w:val="0"/>
          <w:sz w:val="24"/>
          <w:lang w:val="fr-FR"/>
        </w:rPr>
      </w:pPr>
    </w:p>
    <w:p w:rsidR="00D4483D" w:rsidRPr="00B861A0" w:rsidRDefault="00D4483D" w:rsidP="00946EB4">
      <w:pPr>
        <w:pStyle w:val="Datelettre"/>
        <w:spacing w:after="0"/>
        <w:ind w:left="0" w:right="3"/>
        <w:jc w:val="both"/>
        <w:rPr>
          <w:noProof w:val="0"/>
          <w:sz w:val="24"/>
          <w:lang w:val="fr-FR"/>
        </w:rPr>
      </w:pPr>
      <w:r w:rsidRPr="00B861A0">
        <w:rPr>
          <w:noProof w:val="0"/>
          <w:sz w:val="24"/>
          <w:lang w:val="fr-FR"/>
        </w:rPr>
        <w:t>Les graphes ci-après présentent l’évolution du nombre d’abonnés du service d’eau potable ainsi que la consommation domestique unitaire :</w:t>
      </w:r>
    </w:p>
    <w:p w:rsidR="00D4483D" w:rsidRPr="00B861A0" w:rsidRDefault="00D4483D" w:rsidP="00946EB4">
      <w:pPr>
        <w:pStyle w:val="Datelettre"/>
        <w:spacing w:after="0"/>
        <w:ind w:left="0" w:right="3"/>
        <w:jc w:val="both"/>
        <w:rPr>
          <w:noProof w:val="0"/>
          <w:sz w:val="24"/>
          <w:lang w:val="fr-FR"/>
        </w:rPr>
      </w:pPr>
    </w:p>
    <w:p w:rsidR="00D4483D" w:rsidRPr="00B861A0" w:rsidRDefault="00D4483D" w:rsidP="00CA712A">
      <w:pPr>
        <w:pStyle w:val="Datelettre"/>
        <w:spacing w:after="0"/>
        <w:ind w:left="0" w:right="3"/>
        <w:jc w:val="center"/>
        <w:rPr>
          <w:noProof w:val="0"/>
          <w:sz w:val="24"/>
          <w:lang w:val="fr-FR"/>
        </w:rPr>
      </w:pPr>
      <w:r w:rsidRPr="00EB738F">
        <w:rPr>
          <w:sz w:val="24"/>
          <w:lang w:val="fr-FR"/>
        </w:rPr>
        <w:pict>
          <v:shape id="Image 2" o:spid="_x0000_i1026" type="#_x0000_t75" style="width:278.25pt;height:213pt;visibility:visible">
            <v:imagedata r:id="rId12" o:title=""/>
          </v:shape>
        </w:pict>
      </w:r>
    </w:p>
    <w:p w:rsidR="00D4483D" w:rsidRDefault="00D4483D" w:rsidP="0057193F">
      <w:pPr>
        <w:pStyle w:val="Datelettre"/>
        <w:spacing w:after="0"/>
        <w:ind w:left="0" w:right="3"/>
        <w:jc w:val="both"/>
        <w:rPr>
          <w:noProof w:val="0"/>
          <w:sz w:val="24"/>
          <w:lang w:val="fr-FR"/>
        </w:rPr>
      </w:pPr>
    </w:p>
    <w:p w:rsidR="00D4483D" w:rsidRPr="00B861A0" w:rsidRDefault="00D4483D" w:rsidP="0057193F">
      <w:pPr>
        <w:pStyle w:val="Datelettre"/>
        <w:spacing w:after="0"/>
        <w:ind w:left="0" w:right="3"/>
        <w:jc w:val="both"/>
        <w:rPr>
          <w:noProof w:val="0"/>
          <w:sz w:val="24"/>
          <w:lang w:val="fr-FR"/>
        </w:rPr>
      </w:pPr>
      <w:r w:rsidRPr="00EF69AA">
        <w:rPr>
          <w:noProof w:val="0"/>
          <w:sz w:val="24"/>
          <w:lang w:val="fr-FR"/>
        </w:rPr>
        <w:t xml:space="preserve">L’évolution moyenne du nombre d’abonnés est inférieure à 1 % par an depuis 2008 sur </w:t>
      </w:r>
      <w:r>
        <w:rPr>
          <w:noProof w:val="0"/>
          <w:sz w:val="24"/>
          <w:lang w:val="fr-FR"/>
        </w:rPr>
        <w:t>la commune</w:t>
      </w:r>
      <w:r w:rsidRPr="00EF69AA">
        <w:rPr>
          <w:noProof w:val="0"/>
          <w:sz w:val="24"/>
          <w:lang w:val="fr-FR"/>
        </w:rPr>
        <w:t>.</w:t>
      </w:r>
    </w:p>
    <w:p w:rsidR="00D4483D" w:rsidRPr="00B861A0" w:rsidRDefault="00D4483D" w:rsidP="00946EB4">
      <w:pPr>
        <w:pStyle w:val="Datelettre"/>
        <w:spacing w:after="0"/>
        <w:ind w:left="0" w:right="3"/>
        <w:jc w:val="both"/>
        <w:rPr>
          <w:noProof w:val="0"/>
          <w:sz w:val="24"/>
          <w:lang w:val="fr-FR"/>
        </w:rPr>
      </w:pPr>
    </w:p>
    <w:p w:rsidR="00D4483D" w:rsidRPr="00000811" w:rsidRDefault="00D4483D" w:rsidP="00F62888">
      <w:pPr>
        <w:pStyle w:val="Datelettre"/>
        <w:spacing w:after="0"/>
        <w:ind w:left="0" w:right="3"/>
        <w:jc w:val="center"/>
        <w:rPr>
          <w:noProof w:val="0"/>
          <w:sz w:val="24"/>
          <w:highlight w:val="yellow"/>
          <w:lang w:val="fr-FR"/>
        </w:rPr>
      </w:pPr>
      <w:r w:rsidRPr="00EB738F">
        <w:rPr>
          <w:sz w:val="24"/>
          <w:lang w:val="fr-FR"/>
        </w:rPr>
        <w:pict>
          <v:shape id="Image 11" o:spid="_x0000_i1027" type="#_x0000_t75" style="width:362.25pt;height:261pt;visibility:visible">
            <v:imagedata r:id="rId13" o:title=""/>
          </v:shape>
        </w:pict>
      </w:r>
    </w:p>
    <w:p w:rsidR="00D4483D" w:rsidRPr="00B861A0" w:rsidRDefault="00D4483D" w:rsidP="00946EB4">
      <w:pPr>
        <w:pStyle w:val="Datelettre"/>
        <w:spacing w:after="0"/>
        <w:ind w:left="0" w:right="3"/>
        <w:jc w:val="center"/>
        <w:rPr>
          <w:sz w:val="24"/>
          <w:lang w:val="fr-FR"/>
        </w:rPr>
      </w:pPr>
    </w:p>
    <w:p w:rsidR="00D4483D" w:rsidRPr="00EF69AA" w:rsidRDefault="00D4483D" w:rsidP="00946EB4">
      <w:pPr>
        <w:pStyle w:val="Datelettre"/>
        <w:spacing w:after="0"/>
        <w:ind w:left="0" w:right="3"/>
        <w:jc w:val="both"/>
        <w:rPr>
          <w:sz w:val="24"/>
          <w:lang w:val="fr-FR"/>
        </w:rPr>
      </w:pPr>
      <w:r w:rsidRPr="00EF69AA">
        <w:rPr>
          <w:sz w:val="24"/>
          <w:lang w:val="fr-FR"/>
        </w:rPr>
        <w:t>La consommation unitaire par abonné est relativement stable depuis 2009, à l’exception d’un pic de consommation sur l’année 2010.</w:t>
      </w:r>
    </w:p>
    <w:p w:rsidR="00D4483D" w:rsidRPr="009010D2" w:rsidRDefault="00D4483D" w:rsidP="00946EB4">
      <w:pPr>
        <w:pStyle w:val="Datelettre"/>
        <w:spacing w:after="0"/>
        <w:ind w:left="0" w:right="3"/>
        <w:jc w:val="both"/>
        <w:rPr>
          <w:sz w:val="24"/>
          <w:highlight w:val="yellow"/>
          <w:lang w:val="fr-FR"/>
        </w:rPr>
      </w:pPr>
    </w:p>
    <w:p w:rsidR="00D4483D" w:rsidRPr="00B861A0" w:rsidRDefault="00D4483D" w:rsidP="00E55305">
      <w:pPr>
        <w:spacing w:after="200" w:line="276" w:lineRule="auto"/>
      </w:pPr>
      <w:r w:rsidRPr="00B861A0">
        <w:t>L’évolution des volumes consommés est présentée dans le graphe ci-après :</w:t>
      </w:r>
    </w:p>
    <w:p w:rsidR="00D4483D" w:rsidRDefault="00D4483D" w:rsidP="00F62888">
      <w:pPr>
        <w:pStyle w:val="Datelettre"/>
        <w:spacing w:after="0"/>
        <w:ind w:left="0" w:right="3"/>
        <w:jc w:val="center"/>
        <w:rPr>
          <w:noProof w:val="0"/>
          <w:sz w:val="24"/>
          <w:highlight w:val="yellow"/>
          <w:lang w:val="fr-FR"/>
        </w:rPr>
      </w:pPr>
      <w:r w:rsidRPr="00EB738F">
        <w:rPr>
          <w:sz w:val="24"/>
          <w:lang w:val="fr-FR"/>
        </w:rPr>
        <w:pict>
          <v:shape id="Image 3" o:spid="_x0000_i1028" type="#_x0000_t75" style="width:363pt;height:229.5pt;visibility:visible">
            <v:imagedata r:id="rId14" o:title=""/>
          </v:shape>
        </w:pict>
      </w:r>
    </w:p>
    <w:p w:rsidR="00D4483D" w:rsidRPr="001D5084" w:rsidRDefault="00D4483D" w:rsidP="001D5084">
      <w:pPr>
        <w:pStyle w:val="Datelettre"/>
        <w:spacing w:after="0"/>
        <w:ind w:left="0" w:right="3"/>
        <w:jc w:val="left"/>
        <w:rPr>
          <w:noProof w:val="0"/>
          <w:sz w:val="24"/>
          <w:lang w:val="fr-FR"/>
        </w:rPr>
      </w:pPr>
    </w:p>
    <w:p w:rsidR="00D4483D" w:rsidRDefault="00D4483D" w:rsidP="001D5084">
      <w:pPr>
        <w:pStyle w:val="Datelettre"/>
        <w:spacing w:after="0"/>
        <w:ind w:left="0" w:right="3"/>
        <w:jc w:val="both"/>
        <w:rPr>
          <w:noProof w:val="0"/>
          <w:sz w:val="24"/>
          <w:lang w:val="fr-FR"/>
        </w:rPr>
      </w:pPr>
      <w:r w:rsidRPr="00EF69AA">
        <w:rPr>
          <w:noProof w:val="0"/>
          <w:sz w:val="24"/>
          <w:lang w:val="fr-FR"/>
        </w:rPr>
        <w:t>Les évolutions passées sont marquées par la stabilité des besoins à satisfaire, à l’exception d’un pic de consommation sur l’exercice 2010.</w:t>
      </w:r>
    </w:p>
    <w:p w:rsidR="00D4483D" w:rsidRPr="001D5084" w:rsidRDefault="00D4483D" w:rsidP="001D5084">
      <w:pPr>
        <w:pStyle w:val="Datelettre"/>
        <w:spacing w:after="0"/>
        <w:ind w:left="0" w:right="3"/>
        <w:jc w:val="both"/>
        <w:rPr>
          <w:noProof w:val="0"/>
          <w:sz w:val="24"/>
          <w:lang w:val="fr-FR"/>
        </w:rPr>
      </w:pPr>
    </w:p>
    <w:p w:rsidR="00D4483D" w:rsidRDefault="00D4483D">
      <w:pPr>
        <w:spacing w:after="200" w:line="276" w:lineRule="auto"/>
        <w:rPr>
          <w:rFonts w:cs="Arial"/>
          <w:b/>
          <w:bCs/>
          <w:iCs/>
          <w:sz w:val="26"/>
          <w:szCs w:val="26"/>
          <w:u w:val="single"/>
        </w:rPr>
      </w:pPr>
      <w:r>
        <w:br w:type="page"/>
      </w:r>
    </w:p>
    <w:p w:rsidR="00D4483D" w:rsidRPr="004D79B2" w:rsidRDefault="00D4483D" w:rsidP="008A4C06">
      <w:pPr>
        <w:pStyle w:val="Heading2"/>
        <w:numPr>
          <w:ilvl w:val="1"/>
          <w:numId w:val="6"/>
        </w:numPr>
        <w:spacing w:after="0"/>
      </w:pPr>
      <w:bookmarkStart w:id="8" w:name="_Toc367105215"/>
      <w:r w:rsidRPr="004D79B2">
        <w:t>Production d’eau</w:t>
      </w:r>
      <w:r>
        <w:t xml:space="preserve"> potable</w:t>
      </w:r>
      <w:bookmarkEnd w:id="8"/>
    </w:p>
    <w:p w:rsidR="00D4483D" w:rsidRDefault="00D4483D" w:rsidP="00946EB4">
      <w:pPr>
        <w:pStyle w:val="Datelettre"/>
        <w:spacing w:after="0"/>
        <w:ind w:left="0" w:right="3"/>
        <w:jc w:val="both"/>
        <w:rPr>
          <w:noProof w:val="0"/>
          <w:sz w:val="24"/>
          <w:lang w:val="fr-FR"/>
        </w:rPr>
      </w:pPr>
    </w:p>
    <w:p w:rsidR="00D4483D" w:rsidRPr="004E2A05" w:rsidRDefault="00D4483D" w:rsidP="00F434FA">
      <w:pPr>
        <w:numPr>
          <w:ilvl w:val="0"/>
          <w:numId w:val="12"/>
        </w:numPr>
        <w:jc w:val="both"/>
        <w:rPr>
          <w:b/>
          <w:u w:val="single"/>
        </w:rPr>
      </w:pPr>
      <w:r>
        <w:rPr>
          <w:b/>
          <w:u w:val="single"/>
        </w:rPr>
        <w:t xml:space="preserve">Description des ouvrages et répartition des obligations </w:t>
      </w:r>
    </w:p>
    <w:p w:rsidR="00D4483D" w:rsidRPr="004D79B2" w:rsidRDefault="00D4483D" w:rsidP="001C00D1">
      <w:pPr>
        <w:pStyle w:val="Datelettre"/>
        <w:spacing w:after="0"/>
        <w:ind w:left="0" w:right="3"/>
        <w:jc w:val="both"/>
        <w:rPr>
          <w:noProof w:val="0"/>
          <w:sz w:val="24"/>
          <w:lang w:val="fr-FR"/>
        </w:rPr>
      </w:pPr>
    </w:p>
    <w:p w:rsidR="00D4483D" w:rsidRDefault="00D4483D" w:rsidP="00946EB4">
      <w:pPr>
        <w:pStyle w:val="Datelettre"/>
        <w:spacing w:after="0"/>
        <w:ind w:left="0" w:right="3"/>
        <w:jc w:val="both"/>
        <w:rPr>
          <w:noProof w:val="0"/>
          <w:sz w:val="24"/>
          <w:lang w:val="fr-FR"/>
        </w:rPr>
      </w:pPr>
      <w:r>
        <w:rPr>
          <w:noProof w:val="0"/>
          <w:sz w:val="24"/>
          <w:lang w:val="fr-FR"/>
        </w:rPr>
        <w:t xml:space="preserve">Le service dispose de ses propres installations de production d’eau potable par l’intermédiaire des ressources suivantes : </w:t>
      </w:r>
    </w:p>
    <w:p w:rsidR="00D4483D" w:rsidRDefault="00D4483D" w:rsidP="00946EB4">
      <w:pPr>
        <w:pStyle w:val="Datelettre"/>
        <w:spacing w:after="0"/>
        <w:ind w:left="0" w:right="3"/>
        <w:jc w:val="both"/>
        <w:rPr>
          <w:noProof w:val="0"/>
          <w:sz w:val="24"/>
          <w:lang w:val="fr-FR"/>
        </w:rPr>
      </w:pPr>
    </w:p>
    <w:p w:rsidR="00D4483D" w:rsidRDefault="00D4483D" w:rsidP="009010D2">
      <w:pPr>
        <w:pStyle w:val="Datelettre"/>
        <w:numPr>
          <w:ilvl w:val="0"/>
          <w:numId w:val="12"/>
        </w:numPr>
        <w:spacing w:after="0"/>
        <w:ind w:right="3"/>
        <w:jc w:val="both"/>
        <w:rPr>
          <w:noProof w:val="0"/>
          <w:sz w:val="24"/>
          <w:lang w:val="fr-FR"/>
        </w:rPr>
      </w:pPr>
      <w:r>
        <w:rPr>
          <w:noProof w:val="0"/>
          <w:sz w:val="24"/>
          <w:lang w:val="fr-FR"/>
        </w:rPr>
        <w:t>Nouveau forage mis en service en 2005 (débit 120 m</w:t>
      </w:r>
      <w:r w:rsidRPr="00413F7A">
        <w:rPr>
          <w:noProof w:val="0"/>
          <w:sz w:val="24"/>
          <w:vertAlign w:val="superscript"/>
          <w:lang w:val="fr-FR"/>
        </w:rPr>
        <w:t>3</w:t>
      </w:r>
      <w:r>
        <w:rPr>
          <w:noProof w:val="0"/>
          <w:sz w:val="24"/>
          <w:lang w:val="fr-FR"/>
        </w:rPr>
        <w:t>/h)</w:t>
      </w:r>
    </w:p>
    <w:p w:rsidR="00D4483D" w:rsidRDefault="00D4483D" w:rsidP="009010D2">
      <w:pPr>
        <w:pStyle w:val="Datelettre"/>
        <w:numPr>
          <w:ilvl w:val="0"/>
          <w:numId w:val="12"/>
        </w:numPr>
        <w:spacing w:after="0"/>
        <w:ind w:right="3"/>
        <w:jc w:val="both"/>
        <w:rPr>
          <w:noProof w:val="0"/>
          <w:sz w:val="24"/>
          <w:lang w:val="fr-FR"/>
        </w:rPr>
      </w:pPr>
      <w:r>
        <w:rPr>
          <w:noProof w:val="0"/>
          <w:sz w:val="24"/>
          <w:lang w:val="fr-FR"/>
        </w:rPr>
        <w:t>Forages Rue de la Cave, mis en veille (débit 140 m</w:t>
      </w:r>
      <w:r w:rsidRPr="009010D2">
        <w:rPr>
          <w:noProof w:val="0"/>
          <w:sz w:val="24"/>
          <w:vertAlign w:val="superscript"/>
          <w:lang w:val="fr-FR"/>
        </w:rPr>
        <w:t>3</w:t>
      </w:r>
      <w:r>
        <w:rPr>
          <w:noProof w:val="0"/>
          <w:sz w:val="24"/>
          <w:lang w:val="fr-FR"/>
        </w:rPr>
        <w:t>/h) et utilisés uniquement en secours en raison d’une teneur élevée en pesticides.</w:t>
      </w:r>
    </w:p>
    <w:p w:rsidR="00D4483D" w:rsidRDefault="00D4483D" w:rsidP="00946EB4">
      <w:pPr>
        <w:pStyle w:val="Datelettre"/>
        <w:spacing w:after="0"/>
        <w:ind w:left="0" w:right="3"/>
        <w:jc w:val="both"/>
        <w:rPr>
          <w:noProof w:val="0"/>
          <w:sz w:val="24"/>
          <w:lang w:val="fr-FR"/>
        </w:rPr>
      </w:pPr>
    </w:p>
    <w:p w:rsidR="00D4483D" w:rsidRDefault="00D4483D" w:rsidP="00946EB4">
      <w:pPr>
        <w:pStyle w:val="Datelettre"/>
        <w:spacing w:after="0"/>
        <w:ind w:left="0" w:right="3"/>
        <w:jc w:val="both"/>
        <w:rPr>
          <w:noProof w:val="0"/>
          <w:sz w:val="24"/>
          <w:lang w:val="fr-FR"/>
        </w:rPr>
      </w:pPr>
      <w:r>
        <w:rPr>
          <w:noProof w:val="0"/>
          <w:sz w:val="24"/>
          <w:lang w:val="fr-FR"/>
        </w:rPr>
        <w:t>Le prélèvement en eau potable est assuré par une seule pompe sur le nouveau forage, ce qui peut générer une fragilité du système de production d’eau potable en cas de panne prolongée, bien que les anciens forages soient disponibles en secours.</w:t>
      </w:r>
    </w:p>
    <w:p w:rsidR="00D4483D" w:rsidRDefault="00D4483D" w:rsidP="00946EB4">
      <w:pPr>
        <w:pStyle w:val="Datelettre"/>
        <w:spacing w:after="0"/>
        <w:ind w:left="0" w:right="3"/>
        <w:jc w:val="both"/>
        <w:rPr>
          <w:noProof w:val="0"/>
          <w:sz w:val="24"/>
          <w:lang w:val="fr-FR"/>
        </w:rPr>
      </w:pPr>
    </w:p>
    <w:p w:rsidR="00D4483D" w:rsidRPr="00B861A0" w:rsidRDefault="00D4483D" w:rsidP="00CB47E0">
      <w:pPr>
        <w:jc w:val="both"/>
      </w:pPr>
      <w:r w:rsidRPr="000355C7">
        <w:t>Il existe une interconnexion en secours, en vanne fermée avec la commune de La Rochette. Les conditions techniques et financières d’échange d’eau ne sont pas déterminées</w:t>
      </w:r>
      <w:r>
        <w:t xml:space="preserve"> et formalisées par une convention d’échange d’eau</w:t>
      </w:r>
      <w:r w:rsidRPr="000355C7">
        <w:t>.</w:t>
      </w:r>
    </w:p>
    <w:p w:rsidR="00D4483D" w:rsidRDefault="00D4483D" w:rsidP="008C442B">
      <w:pPr>
        <w:jc w:val="both"/>
      </w:pPr>
    </w:p>
    <w:p w:rsidR="00D4483D" w:rsidRPr="00CE2BB3" w:rsidRDefault="00D4483D" w:rsidP="001C00D1">
      <w:pPr>
        <w:jc w:val="both"/>
      </w:pPr>
      <w:r>
        <w:t>L</w:t>
      </w:r>
      <w:r w:rsidRPr="00CE2BB3">
        <w:t xml:space="preserve">’exploitant du service est responsable de l’ensemble des opérations </w:t>
      </w:r>
      <w:r w:rsidRPr="00CE2BB3">
        <w:rPr>
          <w:u w:val="single"/>
        </w:rPr>
        <w:t>d’entretien</w:t>
      </w:r>
      <w:r w:rsidRPr="00CE2BB3">
        <w:t xml:space="preserve"> et de </w:t>
      </w:r>
      <w:r w:rsidRPr="00CE2BB3">
        <w:rPr>
          <w:u w:val="single"/>
        </w:rPr>
        <w:t>réparation</w:t>
      </w:r>
      <w:r w:rsidRPr="00CE2BB3">
        <w:t xml:space="preserve"> des réseaux et des ouvrages</w:t>
      </w:r>
      <w:r>
        <w:t>, ainsi que le renouvellement des équipements des ouvrages</w:t>
      </w:r>
      <w:r w:rsidRPr="00CE2BB3">
        <w:t xml:space="preserve">. </w:t>
      </w:r>
    </w:p>
    <w:p w:rsidR="00D4483D" w:rsidRDefault="00D4483D" w:rsidP="008C442B">
      <w:pPr>
        <w:jc w:val="both"/>
      </w:pPr>
    </w:p>
    <w:p w:rsidR="00D4483D" w:rsidRPr="00A437F4" w:rsidRDefault="00D4483D" w:rsidP="001C00D1">
      <w:pPr>
        <w:jc w:val="both"/>
      </w:pPr>
      <w:r>
        <w:t xml:space="preserve">La Collectivité </w:t>
      </w:r>
      <w:r w:rsidRPr="00A437F4">
        <w:t xml:space="preserve">conserve la maîtrise d’ouvrage des travaux de </w:t>
      </w:r>
      <w:r w:rsidRPr="00A437F4">
        <w:rPr>
          <w:u w:val="single"/>
        </w:rPr>
        <w:t>renouvellement</w:t>
      </w:r>
      <w:r w:rsidRPr="00A437F4">
        <w:t xml:space="preserve"> du génie civil.</w:t>
      </w:r>
    </w:p>
    <w:p w:rsidR="00D4483D" w:rsidRPr="00B861A0" w:rsidRDefault="00D4483D" w:rsidP="001C00D1">
      <w:pPr>
        <w:jc w:val="both"/>
      </w:pPr>
    </w:p>
    <w:p w:rsidR="00D4483D" w:rsidRPr="004E2A05" w:rsidRDefault="00D4483D" w:rsidP="00F434FA">
      <w:pPr>
        <w:numPr>
          <w:ilvl w:val="0"/>
          <w:numId w:val="12"/>
        </w:numPr>
        <w:jc w:val="both"/>
        <w:rPr>
          <w:b/>
          <w:u w:val="single"/>
        </w:rPr>
      </w:pPr>
      <w:r>
        <w:rPr>
          <w:b/>
          <w:u w:val="single"/>
        </w:rPr>
        <w:t>Evolution de la production d’eau potable</w:t>
      </w:r>
    </w:p>
    <w:p w:rsidR="00D4483D" w:rsidRDefault="00D4483D" w:rsidP="001C00D1">
      <w:pPr>
        <w:spacing w:before="120"/>
        <w:jc w:val="both"/>
        <w:rPr>
          <w:color w:val="008000"/>
        </w:rPr>
      </w:pPr>
    </w:p>
    <w:p w:rsidR="00D4483D" w:rsidRPr="00661038" w:rsidRDefault="00D4483D" w:rsidP="001C00D1">
      <w:pPr>
        <w:pStyle w:val="Datelettre"/>
        <w:spacing w:after="0"/>
        <w:ind w:left="0" w:right="3"/>
        <w:jc w:val="both"/>
        <w:rPr>
          <w:noProof w:val="0"/>
          <w:sz w:val="24"/>
          <w:lang w:val="fr-FR"/>
        </w:rPr>
      </w:pPr>
      <w:r w:rsidRPr="00661038">
        <w:rPr>
          <w:noProof w:val="0"/>
          <w:sz w:val="24"/>
          <w:lang w:val="fr-FR"/>
        </w:rPr>
        <w:t>Le tableau ci-après présente l’évolution des volumes produits depuis 200</w:t>
      </w:r>
      <w:r>
        <w:rPr>
          <w:noProof w:val="0"/>
          <w:sz w:val="24"/>
          <w:lang w:val="fr-FR"/>
        </w:rPr>
        <w:t>8</w:t>
      </w:r>
      <w:r w:rsidRPr="00661038">
        <w:rPr>
          <w:noProof w:val="0"/>
          <w:sz w:val="24"/>
          <w:lang w:val="fr-FR"/>
        </w:rPr>
        <w:t xml:space="preserve"> :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8"/>
        <w:gridCol w:w="1126"/>
        <w:gridCol w:w="1126"/>
        <w:gridCol w:w="1126"/>
        <w:gridCol w:w="1126"/>
        <w:gridCol w:w="1126"/>
      </w:tblGrid>
      <w:tr w:rsidR="00D4483D" w:rsidRPr="002023F5" w:rsidTr="00A156FF">
        <w:tc>
          <w:tcPr>
            <w:tcW w:w="1969" w:type="pct"/>
            <w:tcBorders>
              <w:top w:val="nil"/>
              <w:left w:val="nil"/>
            </w:tcBorders>
            <w:vAlign w:val="center"/>
          </w:tcPr>
          <w:p w:rsidR="00D4483D" w:rsidRPr="002023F5" w:rsidRDefault="00D4483D" w:rsidP="00FD5EE5">
            <w:pPr>
              <w:rPr>
                <w:b/>
                <w:bCs/>
              </w:rPr>
            </w:pPr>
            <w:r w:rsidRPr="002023F5">
              <w:rPr>
                <w:b/>
                <w:bCs/>
              </w:rPr>
              <w:t>En m</w:t>
            </w:r>
            <w:r w:rsidRPr="002023F5">
              <w:rPr>
                <w:b/>
                <w:bCs/>
                <w:vertAlign w:val="superscript"/>
              </w:rPr>
              <w:t>3</w:t>
            </w:r>
          </w:p>
        </w:tc>
        <w:tc>
          <w:tcPr>
            <w:tcW w:w="606" w:type="pct"/>
            <w:shd w:val="clear" w:color="auto" w:fill="F2F2F2"/>
            <w:vAlign w:val="center"/>
          </w:tcPr>
          <w:p w:rsidR="00D4483D" w:rsidRPr="002023F5" w:rsidRDefault="00D4483D" w:rsidP="00A156FF">
            <w:pPr>
              <w:jc w:val="center"/>
              <w:rPr>
                <w:b/>
                <w:bCs/>
              </w:rPr>
            </w:pPr>
            <w:r w:rsidRPr="002023F5">
              <w:rPr>
                <w:b/>
                <w:bCs/>
              </w:rPr>
              <w:t>2008</w:t>
            </w:r>
          </w:p>
        </w:tc>
        <w:tc>
          <w:tcPr>
            <w:tcW w:w="606" w:type="pct"/>
            <w:shd w:val="clear" w:color="auto" w:fill="F2F2F2"/>
            <w:vAlign w:val="center"/>
          </w:tcPr>
          <w:p w:rsidR="00D4483D" w:rsidRPr="002023F5" w:rsidRDefault="00D4483D" w:rsidP="00A156FF">
            <w:pPr>
              <w:jc w:val="center"/>
              <w:rPr>
                <w:b/>
                <w:bCs/>
              </w:rPr>
            </w:pPr>
            <w:r w:rsidRPr="002023F5">
              <w:rPr>
                <w:b/>
                <w:bCs/>
              </w:rPr>
              <w:t>2009</w:t>
            </w:r>
          </w:p>
        </w:tc>
        <w:tc>
          <w:tcPr>
            <w:tcW w:w="606" w:type="pct"/>
            <w:shd w:val="clear" w:color="auto" w:fill="F2F2F2"/>
            <w:vAlign w:val="center"/>
          </w:tcPr>
          <w:p w:rsidR="00D4483D" w:rsidRPr="002023F5" w:rsidRDefault="00D4483D" w:rsidP="00A156FF">
            <w:pPr>
              <w:jc w:val="center"/>
              <w:rPr>
                <w:b/>
                <w:bCs/>
              </w:rPr>
            </w:pPr>
            <w:r w:rsidRPr="002023F5">
              <w:rPr>
                <w:b/>
                <w:bCs/>
              </w:rPr>
              <w:t>2010</w:t>
            </w:r>
          </w:p>
        </w:tc>
        <w:tc>
          <w:tcPr>
            <w:tcW w:w="606" w:type="pct"/>
            <w:shd w:val="clear" w:color="auto" w:fill="F2F2F2"/>
            <w:vAlign w:val="center"/>
          </w:tcPr>
          <w:p w:rsidR="00D4483D" w:rsidRPr="002023F5" w:rsidRDefault="00D4483D" w:rsidP="00A156FF">
            <w:pPr>
              <w:jc w:val="center"/>
              <w:rPr>
                <w:b/>
                <w:bCs/>
              </w:rPr>
            </w:pPr>
            <w:r w:rsidRPr="002023F5">
              <w:rPr>
                <w:b/>
                <w:bCs/>
              </w:rPr>
              <w:t>2011</w:t>
            </w:r>
          </w:p>
        </w:tc>
        <w:tc>
          <w:tcPr>
            <w:tcW w:w="606" w:type="pct"/>
            <w:shd w:val="clear" w:color="auto" w:fill="F2F2F2"/>
            <w:vAlign w:val="center"/>
          </w:tcPr>
          <w:p w:rsidR="00D4483D" w:rsidRPr="002023F5" w:rsidRDefault="00D4483D" w:rsidP="00A156FF">
            <w:pPr>
              <w:jc w:val="center"/>
              <w:rPr>
                <w:b/>
                <w:bCs/>
              </w:rPr>
            </w:pPr>
            <w:r w:rsidRPr="002023F5">
              <w:rPr>
                <w:b/>
                <w:bCs/>
              </w:rPr>
              <w:t>2012</w:t>
            </w:r>
          </w:p>
        </w:tc>
      </w:tr>
      <w:tr w:rsidR="00D4483D" w:rsidRPr="002023F5" w:rsidTr="002023F5">
        <w:tc>
          <w:tcPr>
            <w:tcW w:w="1969" w:type="pct"/>
            <w:vAlign w:val="bottom"/>
          </w:tcPr>
          <w:p w:rsidR="00D4483D" w:rsidRPr="002023F5" w:rsidRDefault="00D4483D">
            <w:pPr>
              <w:rPr>
                <w:color w:val="000000"/>
              </w:rPr>
            </w:pPr>
            <w:r w:rsidRPr="002023F5">
              <w:rPr>
                <w:color w:val="000000"/>
              </w:rPr>
              <w:t>Nouveau forage</w:t>
            </w:r>
          </w:p>
        </w:tc>
        <w:tc>
          <w:tcPr>
            <w:tcW w:w="606" w:type="pct"/>
            <w:vAlign w:val="center"/>
          </w:tcPr>
          <w:p w:rsidR="00D4483D" w:rsidRPr="002023F5" w:rsidRDefault="00D4483D" w:rsidP="002023F5">
            <w:pPr>
              <w:jc w:val="center"/>
              <w:rPr>
                <w:color w:val="000000"/>
              </w:rPr>
            </w:pPr>
            <w:r w:rsidRPr="002023F5">
              <w:rPr>
                <w:color w:val="000000"/>
              </w:rPr>
              <w:t>348 402</w:t>
            </w:r>
          </w:p>
        </w:tc>
        <w:tc>
          <w:tcPr>
            <w:tcW w:w="606" w:type="pct"/>
            <w:vAlign w:val="center"/>
          </w:tcPr>
          <w:p w:rsidR="00D4483D" w:rsidRPr="002023F5" w:rsidRDefault="00D4483D" w:rsidP="002023F5">
            <w:pPr>
              <w:jc w:val="center"/>
              <w:rPr>
                <w:color w:val="000000"/>
              </w:rPr>
            </w:pPr>
            <w:r w:rsidRPr="002023F5">
              <w:rPr>
                <w:color w:val="000000"/>
              </w:rPr>
              <w:t>346 529</w:t>
            </w:r>
          </w:p>
        </w:tc>
        <w:tc>
          <w:tcPr>
            <w:tcW w:w="606" w:type="pct"/>
            <w:vAlign w:val="center"/>
          </w:tcPr>
          <w:p w:rsidR="00D4483D" w:rsidRPr="002023F5" w:rsidRDefault="00D4483D" w:rsidP="002023F5">
            <w:pPr>
              <w:jc w:val="center"/>
              <w:rPr>
                <w:color w:val="000000"/>
              </w:rPr>
            </w:pPr>
            <w:r w:rsidRPr="002023F5">
              <w:rPr>
                <w:color w:val="000000"/>
              </w:rPr>
              <w:t>363 680</w:t>
            </w:r>
          </w:p>
        </w:tc>
        <w:tc>
          <w:tcPr>
            <w:tcW w:w="606" w:type="pct"/>
            <w:vAlign w:val="center"/>
          </w:tcPr>
          <w:p w:rsidR="00D4483D" w:rsidRPr="002023F5" w:rsidRDefault="00D4483D" w:rsidP="002023F5">
            <w:pPr>
              <w:jc w:val="center"/>
              <w:rPr>
                <w:color w:val="000000"/>
              </w:rPr>
            </w:pPr>
            <w:r w:rsidRPr="002023F5">
              <w:rPr>
                <w:color w:val="000000"/>
              </w:rPr>
              <w:t>374 802</w:t>
            </w:r>
          </w:p>
        </w:tc>
        <w:tc>
          <w:tcPr>
            <w:tcW w:w="606" w:type="pct"/>
            <w:vAlign w:val="center"/>
          </w:tcPr>
          <w:p w:rsidR="00D4483D" w:rsidRPr="002023F5" w:rsidRDefault="00D4483D" w:rsidP="002023F5">
            <w:pPr>
              <w:jc w:val="center"/>
              <w:rPr>
                <w:color w:val="000000"/>
              </w:rPr>
            </w:pPr>
            <w:r w:rsidRPr="002023F5">
              <w:rPr>
                <w:color w:val="000000"/>
              </w:rPr>
              <w:t>411 371</w:t>
            </w:r>
          </w:p>
        </w:tc>
      </w:tr>
      <w:tr w:rsidR="00D4483D" w:rsidRPr="002023F5" w:rsidTr="002023F5">
        <w:tc>
          <w:tcPr>
            <w:tcW w:w="1969" w:type="pct"/>
            <w:vAlign w:val="bottom"/>
          </w:tcPr>
          <w:p w:rsidR="00D4483D" w:rsidRPr="002023F5" w:rsidRDefault="00D4483D">
            <w:pPr>
              <w:rPr>
                <w:color w:val="000000"/>
              </w:rPr>
            </w:pPr>
            <w:r w:rsidRPr="002023F5">
              <w:rPr>
                <w:color w:val="000000"/>
              </w:rPr>
              <w:t>Station la Cave</w:t>
            </w:r>
          </w:p>
        </w:tc>
        <w:tc>
          <w:tcPr>
            <w:tcW w:w="606" w:type="pct"/>
            <w:vAlign w:val="center"/>
          </w:tcPr>
          <w:p w:rsidR="00D4483D" w:rsidRPr="002023F5" w:rsidRDefault="00D4483D" w:rsidP="002023F5">
            <w:pPr>
              <w:jc w:val="center"/>
              <w:rPr>
                <w:color w:val="000000"/>
              </w:rPr>
            </w:pPr>
            <w:r w:rsidRPr="002023F5">
              <w:rPr>
                <w:color w:val="000000"/>
              </w:rPr>
              <w:t>16 012</w:t>
            </w:r>
          </w:p>
        </w:tc>
        <w:tc>
          <w:tcPr>
            <w:tcW w:w="606" w:type="pct"/>
            <w:vAlign w:val="center"/>
          </w:tcPr>
          <w:p w:rsidR="00D4483D" w:rsidRPr="002023F5" w:rsidRDefault="00D4483D" w:rsidP="002023F5">
            <w:pPr>
              <w:jc w:val="center"/>
              <w:rPr>
                <w:color w:val="000000"/>
              </w:rPr>
            </w:pPr>
            <w:r w:rsidRPr="002023F5">
              <w:rPr>
                <w:color w:val="000000"/>
              </w:rPr>
              <w:t>18 214</w:t>
            </w:r>
          </w:p>
        </w:tc>
        <w:tc>
          <w:tcPr>
            <w:tcW w:w="606" w:type="pct"/>
            <w:vAlign w:val="center"/>
          </w:tcPr>
          <w:p w:rsidR="00D4483D" w:rsidRPr="002023F5" w:rsidRDefault="00D4483D" w:rsidP="002023F5">
            <w:pPr>
              <w:jc w:val="center"/>
              <w:rPr>
                <w:color w:val="000000"/>
              </w:rPr>
            </w:pPr>
            <w:r w:rsidRPr="002023F5">
              <w:rPr>
                <w:color w:val="000000"/>
              </w:rPr>
              <w:t>2 683</w:t>
            </w:r>
          </w:p>
        </w:tc>
        <w:tc>
          <w:tcPr>
            <w:tcW w:w="606" w:type="pct"/>
            <w:vAlign w:val="center"/>
          </w:tcPr>
          <w:p w:rsidR="00D4483D" w:rsidRPr="002023F5" w:rsidRDefault="00D4483D" w:rsidP="002023F5">
            <w:pPr>
              <w:jc w:val="center"/>
              <w:rPr>
                <w:color w:val="000000"/>
              </w:rPr>
            </w:pPr>
            <w:r w:rsidRPr="002023F5">
              <w:rPr>
                <w:color w:val="000000"/>
              </w:rPr>
              <w:t>3 937</w:t>
            </w:r>
          </w:p>
        </w:tc>
        <w:tc>
          <w:tcPr>
            <w:tcW w:w="606" w:type="pct"/>
            <w:vAlign w:val="center"/>
          </w:tcPr>
          <w:p w:rsidR="00D4483D" w:rsidRPr="002023F5" w:rsidRDefault="00D4483D" w:rsidP="002023F5">
            <w:pPr>
              <w:jc w:val="center"/>
              <w:rPr>
                <w:color w:val="000000"/>
              </w:rPr>
            </w:pPr>
            <w:r w:rsidRPr="002023F5">
              <w:rPr>
                <w:color w:val="000000"/>
              </w:rPr>
              <w:t>1 419</w:t>
            </w:r>
          </w:p>
        </w:tc>
      </w:tr>
      <w:tr w:rsidR="00D4483D" w:rsidRPr="002023F5" w:rsidTr="002023F5">
        <w:tc>
          <w:tcPr>
            <w:tcW w:w="1969" w:type="pct"/>
          </w:tcPr>
          <w:p w:rsidR="00D4483D" w:rsidRPr="002023F5" w:rsidRDefault="00D4483D" w:rsidP="00FD5EE5">
            <w:pPr>
              <w:jc w:val="both"/>
              <w:rPr>
                <w:b/>
              </w:rPr>
            </w:pPr>
            <w:r w:rsidRPr="002023F5">
              <w:rPr>
                <w:b/>
              </w:rPr>
              <w:t>TOTAL Volumes produits</w:t>
            </w:r>
          </w:p>
        </w:tc>
        <w:tc>
          <w:tcPr>
            <w:tcW w:w="606" w:type="pct"/>
            <w:vAlign w:val="center"/>
          </w:tcPr>
          <w:p w:rsidR="00D4483D" w:rsidRPr="002023F5" w:rsidRDefault="00D4483D" w:rsidP="002023F5">
            <w:pPr>
              <w:jc w:val="center"/>
              <w:rPr>
                <w:b/>
                <w:bCs/>
                <w:color w:val="000000"/>
              </w:rPr>
            </w:pPr>
            <w:r w:rsidRPr="002023F5">
              <w:rPr>
                <w:b/>
                <w:bCs/>
                <w:color w:val="000000"/>
              </w:rPr>
              <w:t>364 414</w:t>
            </w:r>
          </w:p>
        </w:tc>
        <w:tc>
          <w:tcPr>
            <w:tcW w:w="606" w:type="pct"/>
            <w:vAlign w:val="center"/>
          </w:tcPr>
          <w:p w:rsidR="00D4483D" w:rsidRPr="002023F5" w:rsidRDefault="00D4483D" w:rsidP="002023F5">
            <w:pPr>
              <w:jc w:val="center"/>
              <w:rPr>
                <w:b/>
                <w:bCs/>
                <w:color w:val="000000"/>
              </w:rPr>
            </w:pPr>
            <w:r w:rsidRPr="002023F5">
              <w:rPr>
                <w:b/>
                <w:bCs/>
                <w:color w:val="000000"/>
              </w:rPr>
              <w:t>364 743</w:t>
            </w:r>
          </w:p>
        </w:tc>
        <w:tc>
          <w:tcPr>
            <w:tcW w:w="606" w:type="pct"/>
            <w:vAlign w:val="center"/>
          </w:tcPr>
          <w:p w:rsidR="00D4483D" w:rsidRPr="002023F5" w:rsidRDefault="00D4483D" w:rsidP="002023F5">
            <w:pPr>
              <w:jc w:val="center"/>
              <w:rPr>
                <w:b/>
                <w:bCs/>
                <w:color w:val="000000"/>
              </w:rPr>
            </w:pPr>
            <w:r w:rsidRPr="002023F5">
              <w:rPr>
                <w:b/>
                <w:bCs/>
                <w:color w:val="000000"/>
              </w:rPr>
              <w:t>366 363</w:t>
            </w:r>
          </w:p>
        </w:tc>
        <w:tc>
          <w:tcPr>
            <w:tcW w:w="606" w:type="pct"/>
            <w:vAlign w:val="center"/>
          </w:tcPr>
          <w:p w:rsidR="00D4483D" w:rsidRPr="002023F5" w:rsidRDefault="00D4483D" w:rsidP="002023F5">
            <w:pPr>
              <w:jc w:val="center"/>
              <w:rPr>
                <w:b/>
                <w:bCs/>
                <w:color w:val="000000"/>
              </w:rPr>
            </w:pPr>
            <w:r w:rsidRPr="002023F5">
              <w:rPr>
                <w:b/>
                <w:bCs/>
                <w:color w:val="000000"/>
              </w:rPr>
              <w:t>378 739</w:t>
            </w:r>
          </w:p>
        </w:tc>
        <w:tc>
          <w:tcPr>
            <w:tcW w:w="606" w:type="pct"/>
            <w:vAlign w:val="center"/>
          </w:tcPr>
          <w:p w:rsidR="00D4483D" w:rsidRPr="002023F5" w:rsidRDefault="00D4483D" w:rsidP="002023F5">
            <w:pPr>
              <w:jc w:val="center"/>
              <w:rPr>
                <w:b/>
                <w:bCs/>
                <w:color w:val="000000"/>
              </w:rPr>
            </w:pPr>
            <w:r w:rsidRPr="002023F5">
              <w:rPr>
                <w:b/>
                <w:bCs/>
                <w:color w:val="000000"/>
              </w:rPr>
              <w:t>412 790</w:t>
            </w:r>
          </w:p>
        </w:tc>
      </w:tr>
    </w:tbl>
    <w:p w:rsidR="00D4483D" w:rsidRDefault="00D4483D" w:rsidP="001C00D1">
      <w:pPr>
        <w:pStyle w:val="Datelettre"/>
        <w:spacing w:after="0"/>
        <w:ind w:left="0" w:right="3"/>
        <w:jc w:val="center"/>
        <w:rPr>
          <w:noProof w:val="0"/>
          <w:sz w:val="24"/>
          <w:lang w:val="fr-FR"/>
        </w:rPr>
      </w:pPr>
    </w:p>
    <w:p w:rsidR="00D4483D" w:rsidRDefault="00D4483D" w:rsidP="001C00D1">
      <w:pPr>
        <w:pStyle w:val="Datelettre"/>
        <w:spacing w:after="0"/>
        <w:ind w:left="0" w:right="3"/>
        <w:jc w:val="center"/>
        <w:rPr>
          <w:noProof w:val="0"/>
          <w:sz w:val="24"/>
          <w:lang w:val="fr-FR"/>
        </w:rPr>
      </w:pPr>
      <w:r w:rsidRPr="00EB738F">
        <w:rPr>
          <w:sz w:val="24"/>
          <w:lang w:val="fr-FR"/>
        </w:rPr>
        <w:pict>
          <v:shape id="Image 13" o:spid="_x0000_i1029" type="#_x0000_t75" style="width:261.75pt;height:186pt;visibility:visible">
            <v:imagedata r:id="rId15" o:title=""/>
          </v:shape>
        </w:pict>
      </w:r>
    </w:p>
    <w:p w:rsidR="00D4483D" w:rsidRDefault="00D4483D" w:rsidP="001C00D1">
      <w:pPr>
        <w:pStyle w:val="Datelettre"/>
        <w:spacing w:after="0"/>
        <w:ind w:left="0" w:right="3"/>
        <w:jc w:val="center"/>
        <w:rPr>
          <w:noProof w:val="0"/>
          <w:sz w:val="24"/>
          <w:lang w:val="fr-FR"/>
        </w:rPr>
      </w:pPr>
    </w:p>
    <w:p w:rsidR="00D4483D" w:rsidRDefault="00D4483D">
      <w:pPr>
        <w:pStyle w:val="Datelettre"/>
        <w:spacing w:after="0"/>
        <w:ind w:left="0" w:right="3"/>
        <w:jc w:val="both"/>
        <w:rPr>
          <w:noProof w:val="0"/>
          <w:sz w:val="24"/>
          <w:lang w:val="fr-FR"/>
        </w:rPr>
      </w:pPr>
      <w:r>
        <w:rPr>
          <w:noProof w:val="0"/>
          <w:sz w:val="24"/>
          <w:lang w:val="fr-FR"/>
        </w:rPr>
        <w:t>On constate en 2011 puis en 2012 une nette augmentation des volumes produits en raison de l’augmentation des pertes en eau du réseau.</w:t>
      </w:r>
    </w:p>
    <w:p w:rsidR="00D4483D" w:rsidRPr="004D79B2" w:rsidRDefault="00D4483D" w:rsidP="002E6768">
      <w:pPr>
        <w:pStyle w:val="Heading2"/>
        <w:numPr>
          <w:ilvl w:val="1"/>
          <w:numId w:val="6"/>
        </w:numPr>
      </w:pPr>
      <w:bookmarkStart w:id="9" w:name="_Toc313541202"/>
      <w:bookmarkStart w:id="10" w:name="_Toc367105216"/>
      <w:bookmarkEnd w:id="9"/>
      <w:r w:rsidRPr="004D79B2">
        <w:t>Distribution de l’eau potable</w:t>
      </w:r>
      <w:bookmarkEnd w:id="10"/>
    </w:p>
    <w:p w:rsidR="00D4483D" w:rsidRDefault="00D4483D" w:rsidP="00930403">
      <w:pPr>
        <w:jc w:val="both"/>
      </w:pPr>
    </w:p>
    <w:p w:rsidR="00D4483D" w:rsidRPr="004E2A05" w:rsidRDefault="00D4483D" w:rsidP="00F434FA">
      <w:pPr>
        <w:numPr>
          <w:ilvl w:val="0"/>
          <w:numId w:val="24"/>
        </w:numPr>
        <w:jc w:val="both"/>
        <w:rPr>
          <w:b/>
          <w:u w:val="single"/>
        </w:rPr>
      </w:pPr>
      <w:r>
        <w:rPr>
          <w:b/>
          <w:u w:val="single"/>
        </w:rPr>
        <w:t xml:space="preserve">Description des ouvrages et répartition des obligations </w:t>
      </w:r>
    </w:p>
    <w:p w:rsidR="00D4483D" w:rsidRPr="004D79B2" w:rsidRDefault="00D4483D" w:rsidP="00930403">
      <w:pPr>
        <w:jc w:val="both"/>
      </w:pPr>
    </w:p>
    <w:p w:rsidR="00D4483D" w:rsidRPr="008253C7" w:rsidRDefault="00D4483D" w:rsidP="00946EB4">
      <w:pPr>
        <w:pStyle w:val="Datelettre"/>
        <w:spacing w:after="0"/>
        <w:ind w:left="0" w:right="3"/>
        <w:jc w:val="both"/>
        <w:rPr>
          <w:noProof w:val="0"/>
          <w:sz w:val="24"/>
          <w:lang w:val="fr-FR"/>
        </w:rPr>
      </w:pPr>
      <w:r w:rsidRPr="008253C7">
        <w:rPr>
          <w:noProof w:val="0"/>
          <w:sz w:val="24"/>
          <w:lang w:val="fr-FR"/>
        </w:rPr>
        <w:t>Le système de distribution d’eau potable est composé de :</w:t>
      </w:r>
    </w:p>
    <w:p w:rsidR="00D4483D" w:rsidRDefault="00D4483D" w:rsidP="00946EB4">
      <w:pPr>
        <w:pStyle w:val="Datelettre"/>
        <w:spacing w:after="0"/>
        <w:ind w:left="0" w:right="3"/>
        <w:jc w:val="both"/>
        <w:rPr>
          <w:noProof w:val="0"/>
          <w:sz w:val="24"/>
          <w:highlight w:val="yellow"/>
          <w:lang w:val="fr-FR"/>
        </w:rPr>
      </w:pPr>
    </w:p>
    <w:tbl>
      <w:tblPr>
        <w:tblW w:w="4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7"/>
        <w:gridCol w:w="5445"/>
      </w:tblGrid>
      <w:tr w:rsidR="00D4483D" w:rsidTr="00EB738F">
        <w:tc>
          <w:tcPr>
            <w:tcW w:w="1428" w:type="pct"/>
            <w:tcBorders>
              <w:top w:val="nil"/>
              <w:left w:val="nil"/>
            </w:tcBorders>
            <w:vAlign w:val="center"/>
          </w:tcPr>
          <w:p w:rsidR="00D4483D" w:rsidRDefault="00D4483D" w:rsidP="00EB738F">
            <w:pPr>
              <w:jc w:val="center"/>
            </w:pPr>
          </w:p>
        </w:tc>
        <w:tc>
          <w:tcPr>
            <w:tcW w:w="3572" w:type="pct"/>
            <w:shd w:val="clear" w:color="auto" w:fill="D9D9D9"/>
            <w:vAlign w:val="center"/>
          </w:tcPr>
          <w:p w:rsidR="00D4483D" w:rsidRPr="00EB738F" w:rsidRDefault="00D4483D" w:rsidP="00EB738F">
            <w:pPr>
              <w:jc w:val="center"/>
              <w:rPr>
                <w:b/>
              </w:rPr>
            </w:pPr>
            <w:r w:rsidRPr="00EB738F">
              <w:rPr>
                <w:b/>
              </w:rPr>
              <w:t>Ville de Bois-le-Roi</w:t>
            </w:r>
          </w:p>
        </w:tc>
      </w:tr>
      <w:tr w:rsidR="00D4483D" w:rsidTr="00EB738F">
        <w:tc>
          <w:tcPr>
            <w:tcW w:w="1428" w:type="pct"/>
            <w:vAlign w:val="center"/>
          </w:tcPr>
          <w:p w:rsidR="00D4483D" w:rsidRPr="00EB738F" w:rsidRDefault="00D4483D" w:rsidP="00FD5EE5">
            <w:pPr>
              <w:rPr>
                <w:b/>
              </w:rPr>
            </w:pPr>
            <w:r w:rsidRPr="00EB738F">
              <w:rPr>
                <w:b/>
              </w:rPr>
              <w:t>Réservoirs</w:t>
            </w:r>
          </w:p>
        </w:tc>
        <w:tc>
          <w:tcPr>
            <w:tcW w:w="3572" w:type="pct"/>
            <w:vAlign w:val="center"/>
          </w:tcPr>
          <w:p w:rsidR="00D4483D" w:rsidRPr="003C7CFF" w:rsidRDefault="00D4483D" w:rsidP="00EB738F">
            <w:pPr>
              <w:jc w:val="center"/>
            </w:pPr>
            <w:r w:rsidRPr="003C7CFF">
              <w:t>Nombre : 2</w:t>
            </w:r>
          </w:p>
          <w:p w:rsidR="00D4483D" w:rsidRPr="003C7CFF" w:rsidRDefault="00D4483D" w:rsidP="00EB738F">
            <w:pPr>
              <w:jc w:val="center"/>
            </w:pPr>
            <w:r w:rsidRPr="003C7CFF">
              <w:t>Capacité de stockage : 2x400 m</w:t>
            </w:r>
            <w:r w:rsidRPr="00EB738F">
              <w:rPr>
                <w:vertAlign w:val="superscript"/>
              </w:rPr>
              <w:t>3</w:t>
            </w:r>
          </w:p>
        </w:tc>
      </w:tr>
      <w:tr w:rsidR="00D4483D" w:rsidTr="00EB738F">
        <w:tc>
          <w:tcPr>
            <w:tcW w:w="1428" w:type="pct"/>
            <w:vAlign w:val="center"/>
          </w:tcPr>
          <w:p w:rsidR="00D4483D" w:rsidRPr="00EB738F" w:rsidRDefault="00D4483D" w:rsidP="00FD5EE5">
            <w:pPr>
              <w:rPr>
                <w:b/>
              </w:rPr>
            </w:pPr>
            <w:r w:rsidRPr="00EB738F">
              <w:rPr>
                <w:b/>
              </w:rPr>
              <w:t>Canalisations de distribution</w:t>
            </w:r>
          </w:p>
        </w:tc>
        <w:tc>
          <w:tcPr>
            <w:tcW w:w="3572" w:type="pct"/>
            <w:vAlign w:val="center"/>
          </w:tcPr>
          <w:p w:rsidR="00D4483D" w:rsidRPr="003C7CFF" w:rsidRDefault="00D4483D" w:rsidP="00EB738F">
            <w:pPr>
              <w:jc w:val="center"/>
            </w:pPr>
            <w:r w:rsidRPr="003C7CFF">
              <w:t>44 486 ml</w:t>
            </w:r>
          </w:p>
        </w:tc>
      </w:tr>
      <w:tr w:rsidR="00D4483D" w:rsidTr="00EB738F">
        <w:tc>
          <w:tcPr>
            <w:tcW w:w="1428" w:type="pct"/>
            <w:vAlign w:val="center"/>
          </w:tcPr>
          <w:p w:rsidR="00D4483D" w:rsidRPr="00EB738F" w:rsidRDefault="00D4483D" w:rsidP="00D5644F">
            <w:pPr>
              <w:rPr>
                <w:b/>
              </w:rPr>
            </w:pPr>
            <w:r w:rsidRPr="00EB738F">
              <w:rPr>
                <w:b/>
              </w:rPr>
              <w:t>Débitmètres et compteurs réseaux</w:t>
            </w:r>
          </w:p>
        </w:tc>
        <w:tc>
          <w:tcPr>
            <w:tcW w:w="3572" w:type="pct"/>
            <w:vAlign w:val="center"/>
          </w:tcPr>
          <w:p w:rsidR="00D4483D" w:rsidRPr="00EB738F" w:rsidRDefault="00D4483D" w:rsidP="00EB738F">
            <w:pPr>
              <w:jc w:val="center"/>
              <w:rPr>
                <w:highlight w:val="yellow"/>
              </w:rPr>
            </w:pPr>
            <w:r w:rsidRPr="00462E72">
              <w:t>Sans objet</w:t>
            </w:r>
          </w:p>
        </w:tc>
      </w:tr>
      <w:tr w:rsidR="00D4483D" w:rsidTr="00EB738F">
        <w:tc>
          <w:tcPr>
            <w:tcW w:w="1428" w:type="pct"/>
            <w:vAlign w:val="center"/>
          </w:tcPr>
          <w:p w:rsidR="00D4483D" w:rsidRPr="00EB738F" w:rsidRDefault="00D4483D" w:rsidP="00FD5EE5">
            <w:pPr>
              <w:rPr>
                <w:b/>
              </w:rPr>
            </w:pPr>
            <w:r w:rsidRPr="00EB738F">
              <w:rPr>
                <w:b/>
              </w:rPr>
              <w:t>Autres accessoires de réseaux</w:t>
            </w:r>
          </w:p>
        </w:tc>
        <w:tc>
          <w:tcPr>
            <w:tcW w:w="3572" w:type="pct"/>
            <w:vAlign w:val="center"/>
          </w:tcPr>
          <w:p w:rsidR="00D4483D" w:rsidRDefault="00D4483D" w:rsidP="00EB738F">
            <w:pPr>
              <w:pStyle w:val="ListParagraph"/>
              <w:numPr>
                <w:ilvl w:val="0"/>
                <w:numId w:val="12"/>
              </w:numPr>
              <w:tabs>
                <w:tab w:val="left" w:pos="234"/>
              </w:tabs>
              <w:ind w:left="234" w:hanging="218"/>
              <w:jc w:val="both"/>
            </w:pPr>
            <w:r>
              <w:t>288 vannes</w:t>
            </w:r>
          </w:p>
          <w:p w:rsidR="00D4483D" w:rsidRPr="00732F37" w:rsidRDefault="00D4483D" w:rsidP="00EB738F">
            <w:pPr>
              <w:pStyle w:val="ListParagraph"/>
              <w:numPr>
                <w:ilvl w:val="0"/>
                <w:numId w:val="12"/>
              </w:numPr>
              <w:tabs>
                <w:tab w:val="left" w:pos="234"/>
              </w:tabs>
              <w:ind w:left="234" w:hanging="218"/>
              <w:jc w:val="both"/>
            </w:pPr>
            <w:r w:rsidRPr="00732F37">
              <w:t>2 bornes fontaines,</w:t>
            </w:r>
            <w:r>
              <w:t xml:space="preserve"> 1 bouche d’arrosage</w:t>
            </w:r>
          </w:p>
        </w:tc>
      </w:tr>
    </w:tbl>
    <w:p w:rsidR="00D4483D" w:rsidRDefault="00D4483D" w:rsidP="00930403">
      <w:pPr>
        <w:rPr>
          <w:highlight w:val="yellow"/>
        </w:rPr>
      </w:pPr>
    </w:p>
    <w:p w:rsidR="00D4483D" w:rsidRDefault="00D4483D" w:rsidP="00462E72">
      <w:pPr>
        <w:jc w:val="both"/>
      </w:pPr>
      <w:r>
        <w:t>On note que la capacité de stockage est relativement faible compte tenu du volume d’eau distribuée sur le service qui est supérieur à 1 000 m</w:t>
      </w:r>
      <w:r w:rsidRPr="00462E72">
        <w:rPr>
          <w:vertAlign w:val="superscript"/>
        </w:rPr>
        <w:t>3</w:t>
      </w:r>
      <w:r>
        <w:t>/j.L’autonomie ainsi que la capacité de la commune à distribuer de l’eau en cas de dysfonctionnement des ouvrages sur le réseau est ainsi inférieure à une journée.</w:t>
      </w:r>
    </w:p>
    <w:p w:rsidR="00D4483D" w:rsidRDefault="00D4483D" w:rsidP="00462E72">
      <w:pPr>
        <w:rPr>
          <w:highlight w:val="yellow"/>
        </w:rPr>
      </w:pPr>
    </w:p>
    <w:p w:rsidR="00D4483D" w:rsidRDefault="00D4483D" w:rsidP="00462E72">
      <w:pPr>
        <w:rPr>
          <w:highlight w:val="yellow"/>
        </w:rPr>
      </w:pPr>
    </w:p>
    <w:p w:rsidR="00D4483D" w:rsidRPr="00CE2BB3" w:rsidRDefault="00D4483D" w:rsidP="00ED7533">
      <w:pPr>
        <w:spacing w:after="200" w:line="276" w:lineRule="auto"/>
        <w:jc w:val="both"/>
      </w:pPr>
      <w:r w:rsidRPr="00CE2BB3">
        <w:t xml:space="preserve">L’exploitant du service est responsable del’ensemble des opérations </w:t>
      </w:r>
      <w:r w:rsidRPr="00CE2BB3">
        <w:rPr>
          <w:u w:val="single"/>
        </w:rPr>
        <w:t>d’entretien</w:t>
      </w:r>
      <w:r w:rsidRPr="00CE2BB3">
        <w:t xml:space="preserve"> et de </w:t>
      </w:r>
      <w:r w:rsidRPr="00CE2BB3">
        <w:rPr>
          <w:u w:val="single"/>
        </w:rPr>
        <w:t>réparations</w:t>
      </w:r>
      <w:r w:rsidRPr="00CE2BB3">
        <w:t xml:space="preserve"> des réseaux et des ouvrages. </w:t>
      </w:r>
    </w:p>
    <w:p w:rsidR="00D4483D" w:rsidRPr="00462E72" w:rsidRDefault="00D4483D" w:rsidP="00932687">
      <w:pPr>
        <w:jc w:val="both"/>
      </w:pPr>
      <w:r w:rsidRPr="00462E72">
        <w:t xml:space="preserve">Dans les conditions techniques et financières précisées au point IV.4, l’exploitant prend en charge le </w:t>
      </w:r>
      <w:r w:rsidRPr="00462E72">
        <w:rPr>
          <w:u w:val="single"/>
        </w:rPr>
        <w:t>renouvellement</w:t>
      </w:r>
      <w:r w:rsidRPr="00462E72">
        <w:t> :</w:t>
      </w:r>
    </w:p>
    <w:p w:rsidR="00D4483D" w:rsidRPr="00ED343B" w:rsidRDefault="00D4483D" w:rsidP="00932687">
      <w:pPr>
        <w:jc w:val="both"/>
        <w:rPr>
          <w:highlight w:val="yellow"/>
        </w:rPr>
      </w:pPr>
    </w:p>
    <w:p w:rsidR="00D4483D" w:rsidRPr="002568EC" w:rsidRDefault="00D4483D" w:rsidP="00261067">
      <w:pPr>
        <w:pStyle w:val="Datelettre"/>
        <w:numPr>
          <w:ilvl w:val="0"/>
          <w:numId w:val="7"/>
        </w:numPr>
        <w:spacing w:after="0"/>
        <w:ind w:right="3"/>
        <w:jc w:val="both"/>
        <w:rPr>
          <w:sz w:val="24"/>
          <w:lang w:val="fr-FR"/>
        </w:rPr>
      </w:pPr>
      <w:r w:rsidRPr="002568EC">
        <w:rPr>
          <w:sz w:val="24"/>
          <w:lang w:val="fr-FR"/>
        </w:rPr>
        <w:t>des équipements des ouvrages (appareils électromécaniques, systèmes de mesure, etc.),</w:t>
      </w:r>
    </w:p>
    <w:p w:rsidR="00D4483D" w:rsidRPr="002568EC" w:rsidRDefault="00D4483D" w:rsidP="00261067">
      <w:pPr>
        <w:pStyle w:val="Datelettre"/>
        <w:numPr>
          <w:ilvl w:val="0"/>
          <w:numId w:val="7"/>
        </w:numPr>
        <w:spacing w:after="0"/>
        <w:ind w:right="3"/>
        <w:jc w:val="both"/>
        <w:rPr>
          <w:sz w:val="24"/>
        </w:rPr>
      </w:pPr>
      <w:r w:rsidRPr="002568EC">
        <w:rPr>
          <w:sz w:val="24"/>
        </w:rPr>
        <w:t>des compteurs,</w:t>
      </w:r>
    </w:p>
    <w:p w:rsidR="00D4483D" w:rsidRPr="002568EC" w:rsidRDefault="00D4483D" w:rsidP="00AD2175">
      <w:pPr>
        <w:pStyle w:val="Datelettre"/>
        <w:numPr>
          <w:ilvl w:val="0"/>
          <w:numId w:val="7"/>
        </w:numPr>
        <w:spacing w:after="0"/>
        <w:ind w:right="3"/>
        <w:jc w:val="both"/>
        <w:rPr>
          <w:sz w:val="24"/>
        </w:rPr>
      </w:pPr>
      <w:r w:rsidRPr="002568EC">
        <w:rPr>
          <w:sz w:val="24"/>
        </w:rPr>
        <w:t xml:space="preserve">des accessoires de réseaux, </w:t>
      </w:r>
    </w:p>
    <w:p w:rsidR="00D4483D" w:rsidRPr="002568EC" w:rsidRDefault="00D4483D" w:rsidP="00261067">
      <w:pPr>
        <w:pStyle w:val="Datelettre"/>
        <w:numPr>
          <w:ilvl w:val="0"/>
          <w:numId w:val="7"/>
        </w:numPr>
        <w:spacing w:after="0"/>
        <w:ind w:right="3"/>
        <w:jc w:val="both"/>
        <w:rPr>
          <w:sz w:val="24"/>
          <w:lang w:val="fr-FR"/>
        </w:rPr>
      </w:pPr>
      <w:r w:rsidRPr="002568EC">
        <w:rPr>
          <w:sz w:val="24"/>
          <w:lang w:val="fr-FR"/>
        </w:rPr>
        <w:t>des branchements dans la limite des obligations définies par le contrat.</w:t>
      </w:r>
    </w:p>
    <w:p w:rsidR="00D4483D" w:rsidRDefault="00D4483D" w:rsidP="00E67BEF">
      <w:pPr>
        <w:jc w:val="both"/>
      </w:pPr>
    </w:p>
    <w:p w:rsidR="00D4483D" w:rsidRPr="00A437F4" w:rsidRDefault="00D4483D" w:rsidP="00261067">
      <w:pPr>
        <w:jc w:val="both"/>
      </w:pPr>
      <w:r>
        <w:t>La Collectivité</w:t>
      </w:r>
      <w:r w:rsidRPr="00A437F4">
        <w:t xml:space="preserve">conserve la maîtrise d’ouvrage des travaux de </w:t>
      </w:r>
      <w:r w:rsidRPr="00A437F4">
        <w:rPr>
          <w:u w:val="single"/>
        </w:rPr>
        <w:t>renouvellement</w:t>
      </w:r>
      <w:r>
        <w:t xml:space="preserve">des canalisations et </w:t>
      </w:r>
      <w:r w:rsidRPr="00A437F4">
        <w:t>du génie civil.</w:t>
      </w:r>
    </w:p>
    <w:p w:rsidR="00D4483D" w:rsidRDefault="00D4483D" w:rsidP="00946EB4">
      <w:pPr>
        <w:pStyle w:val="Datelettre"/>
        <w:spacing w:after="0"/>
        <w:ind w:left="0" w:right="3"/>
        <w:jc w:val="both"/>
        <w:rPr>
          <w:noProof w:val="0"/>
          <w:sz w:val="24"/>
          <w:lang w:val="fr-FR"/>
        </w:rPr>
      </w:pPr>
    </w:p>
    <w:p w:rsidR="00D4483D" w:rsidRPr="00A437F4" w:rsidRDefault="00D4483D" w:rsidP="00946EB4">
      <w:pPr>
        <w:pStyle w:val="Datelettre"/>
        <w:spacing w:after="0"/>
        <w:ind w:left="0" w:right="3"/>
        <w:jc w:val="both"/>
        <w:rPr>
          <w:noProof w:val="0"/>
          <w:sz w:val="24"/>
          <w:lang w:val="fr-FR"/>
        </w:rPr>
      </w:pPr>
    </w:p>
    <w:p w:rsidR="00D4483D" w:rsidRDefault="00D4483D">
      <w:pPr>
        <w:spacing w:after="200" w:line="276" w:lineRule="auto"/>
        <w:rPr>
          <w:b/>
          <w:u w:val="single"/>
        </w:rPr>
      </w:pPr>
      <w:r>
        <w:rPr>
          <w:b/>
          <w:u w:val="single"/>
        </w:rPr>
        <w:br w:type="page"/>
      </w:r>
    </w:p>
    <w:p w:rsidR="00D4483D" w:rsidRPr="004D79B2" w:rsidRDefault="00D4483D" w:rsidP="00F434FA">
      <w:pPr>
        <w:pStyle w:val="ListParagraph"/>
        <w:numPr>
          <w:ilvl w:val="0"/>
          <w:numId w:val="24"/>
        </w:numPr>
        <w:jc w:val="both"/>
        <w:rPr>
          <w:b/>
          <w:u w:val="single"/>
        </w:rPr>
      </w:pPr>
      <w:r w:rsidRPr="004D79B2">
        <w:rPr>
          <w:b/>
          <w:u w:val="single"/>
        </w:rPr>
        <w:t>Rendement</w:t>
      </w:r>
    </w:p>
    <w:p w:rsidR="00D4483D" w:rsidRPr="004D79B2" w:rsidRDefault="00D4483D" w:rsidP="00946EB4">
      <w:pPr>
        <w:pStyle w:val="Datelettre"/>
        <w:spacing w:after="0"/>
        <w:ind w:left="0" w:right="3"/>
        <w:jc w:val="both"/>
        <w:rPr>
          <w:noProof w:val="0"/>
          <w:sz w:val="24"/>
          <w:lang w:val="fr-FR"/>
        </w:rPr>
      </w:pPr>
    </w:p>
    <w:p w:rsidR="00D4483D" w:rsidRDefault="00D4483D" w:rsidP="00946EB4">
      <w:pPr>
        <w:pStyle w:val="Datelettre"/>
        <w:spacing w:after="0"/>
        <w:ind w:left="0" w:right="3"/>
        <w:jc w:val="both"/>
        <w:rPr>
          <w:noProof w:val="0"/>
          <w:sz w:val="24"/>
          <w:lang w:val="fr-FR"/>
        </w:rPr>
      </w:pPr>
      <w:r w:rsidRPr="004D79B2">
        <w:rPr>
          <w:noProof w:val="0"/>
          <w:sz w:val="24"/>
          <w:lang w:val="fr-FR"/>
        </w:rPr>
        <w:t>Le tableau ci-après récapitule le rendement de réseau et l’indice linéaire de pertes depuis</w:t>
      </w:r>
      <w:r>
        <w:rPr>
          <w:noProof w:val="0"/>
          <w:sz w:val="24"/>
          <w:lang w:val="fr-FR"/>
        </w:rPr>
        <w:t> 2008</w:t>
      </w:r>
      <w:r w:rsidRPr="004D79B2">
        <w:rPr>
          <w:noProof w:val="0"/>
          <w:sz w:val="24"/>
          <w:lang w:val="fr-FR"/>
        </w:rPr>
        <w:t> :</w:t>
      </w:r>
    </w:p>
    <w:p w:rsidR="00D4483D" w:rsidRPr="004D79B2" w:rsidRDefault="00D4483D" w:rsidP="00946EB4">
      <w:pPr>
        <w:pStyle w:val="Datelettre"/>
        <w:spacing w:after="0"/>
        <w:ind w:left="0" w:right="3"/>
        <w:jc w:val="both"/>
        <w:rPr>
          <w:noProof w:val="0"/>
          <w:sz w:val="24"/>
          <w:lang w:val="fr-FR"/>
        </w:rPr>
      </w:pPr>
    </w:p>
    <w:tbl>
      <w:tblPr>
        <w:tblW w:w="5000" w:type="pct"/>
        <w:tblCellMar>
          <w:left w:w="70" w:type="dxa"/>
          <w:right w:w="70" w:type="dxa"/>
        </w:tblCellMar>
        <w:tblLook w:val="00A0"/>
      </w:tblPr>
      <w:tblGrid>
        <w:gridCol w:w="3130"/>
        <w:gridCol w:w="1214"/>
        <w:gridCol w:w="1216"/>
        <w:gridCol w:w="1218"/>
        <w:gridCol w:w="1218"/>
        <w:gridCol w:w="1216"/>
      </w:tblGrid>
      <w:tr w:rsidR="00D4483D" w:rsidRPr="00261067" w:rsidTr="00AC4133">
        <w:trPr>
          <w:trHeight w:val="282"/>
        </w:trPr>
        <w:tc>
          <w:tcPr>
            <w:tcW w:w="1699" w:type="pct"/>
            <w:tcBorders>
              <w:top w:val="nil"/>
              <w:left w:val="nil"/>
              <w:bottom w:val="single" w:sz="4" w:space="0" w:color="auto"/>
              <w:right w:val="single" w:sz="4" w:space="0" w:color="auto"/>
            </w:tcBorders>
            <w:noWrap/>
            <w:vAlign w:val="center"/>
          </w:tcPr>
          <w:p w:rsidR="00D4483D" w:rsidRPr="00261067" w:rsidRDefault="00D4483D" w:rsidP="00766CA8">
            <w:pPr>
              <w:rPr>
                <w:szCs w:val="20"/>
              </w:rPr>
            </w:pPr>
          </w:p>
        </w:tc>
        <w:tc>
          <w:tcPr>
            <w:tcW w:w="659"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D4483D" w:rsidRPr="0057193F" w:rsidRDefault="00D4483D" w:rsidP="00A156FF">
            <w:pPr>
              <w:jc w:val="center"/>
              <w:rPr>
                <w:b/>
                <w:bCs/>
              </w:rPr>
            </w:pPr>
            <w:r w:rsidRPr="0057193F">
              <w:rPr>
                <w:b/>
                <w:bCs/>
              </w:rPr>
              <w:t>2008</w:t>
            </w:r>
          </w:p>
        </w:tc>
        <w:tc>
          <w:tcPr>
            <w:tcW w:w="660"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D4483D" w:rsidRPr="0057193F" w:rsidRDefault="00D4483D" w:rsidP="00A156FF">
            <w:pPr>
              <w:jc w:val="center"/>
              <w:rPr>
                <w:b/>
                <w:bCs/>
              </w:rPr>
            </w:pPr>
            <w:r w:rsidRPr="0057193F">
              <w:rPr>
                <w:b/>
                <w:bCs/>
              </w:rPr>
              <w:t>2009</w:t>
            </w:r>
          </w:p>
        </w:tc>
        <w:tc>
          <w:tcPr>
            <w:tcW w:w="661"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D4483D" w:rsidRPr="0057193F" w:rsidRDefault="00D4483D" w:rsidP="00A156FF">
            <w:pPr>
              <w:jc w:val="center"/>
              <w:rPr>
                <w:b/>
                <w:bCs/>
              </w:rPr>
            </w:pPr>
            <w:r w:rsidRPr="0057193F">
              <w:rPr>
                <w:b/>
                <w:bCs/>
              </w:rPr>
              <w:t>20</w:t>
            </w:r>
            <w:r>
              <w:rPr>
                <w:b/>
                <w:bCs/>
              </w:rPr>
              <w:t>10</w:t>
            </w:r>
          </w:p>
        </w:tc>
        <w:tc>
          <w:tcPr>
            <w:tcW w:w="661"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D4483D" w:rsidRPr="0057193F" w:rsidRDefault="00D4483D" w:rsidP="00A156FF">
            <w:pPr>
              <w:jc w:val="center"/>
              <w:rPr>
                <w:b/>
                <w:bCs/>
              </w:rPr>
            </w:pPr>
            <w:r>
              <w:rPr>
                <w:b/>
                <w:bCs/>
              </w:rPr>
              <w:t>2011</w:t>
            </w:r>
          </w:p>
        </w:tc>
        <w:tc>
          <w:tcPr>
            <w:tcW w:w="660"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D4483D" w:rsidRPr="0057193F" w:rsidRDefault="00D4483D" w:rsidP="00A156FF">
            <w:pPr>
              <w:jc w:val="center"/>
              <w:rPr>
                <w:b/>
                <w:bCs/>
              </w:rPr>
            </w:pPr>
            <w:r>
              <w:rPr>
                <w:b/>
                <w:bCs/>
              </w:rPr>
              <w:t>2012</w:t>
            </w:r>
          </w:p>
        </w:tc>
      </w:tr>
      <w:tr w:rsidR="00D4483D" w:rsidRPr="00261067" w:rsidTr="00AC4133">
        <w:trPr>
          <w:trHeight w:val="282"/>
        </w:trPr>
        <w:tc>
          <w:tcPr>
            <w:tcW w:w="1699" w:type="pct"/>
            <w:tcBorders>
              <w:top w:val="single" w:sz="4" w:space="0" w:color="auto"/>
              <w:left w:val="single" w:sz="4" w:space="0" w:color="auto"/>
              <w:bottom w:val="single" w:sz="4" w:space="0" w:color="auto"/>
              <w:right w:val="single" w:sz="4" w:space="0" w:color="auto"/>
            </w:tcBorders>
            <w:noWrap/>
            <w:vAlign w:val="center"/>
          </w:tcPr>
          <w:p w:rsidR="00D4483D" w:rsidRPr="00ED343B" w:rsidRDefault="00D4483D" w:rsidP="00004424">
            <w:pPr>
              <w:rPr>
                <w:b/>
                <w:szCs w:val="20"/>
              </w:rPr>
            </w:pPr>
            <w:r w:rsidRPr="00ED343B">
              <w:rPr>
                <w:b/>
                <w:szCs w:val="20"/>
              </w:rPr>
              <w:t>Rendement</w:t>
            </w:r>
          </w:p>
        </w:tc>
        <w:tc>
          <w:tcPr>
            <w:tcW w:w="659" w:type="pct"/>
            <w:tcBorders>
              <w:top w:val="single" w:sz="4" w:space="0" w:color="auto"/>
              <w:left w:val="nil"/>
              <w:bottom w:val="single" w:sz="8" w:space="0" w:color="auto"/>
              <w:right w:val="single" w:sz="8" w:space="0" w:color="auto"/>
            </w:tcBorders>
            <w:noWrap/>
            <w:vAlign w:val="center"/>
          </w:tcPr>
          <w:p w:rsidR="00D4483D" w:rsidRDefault="00D4483D">
            <w:pPr>
              <w:jc w:val="center"/>
              <w:rPr>
                <w:color w:val="000000"/>
              </w:rPr>
            </w:pPr>
            <w:r>
              <w:rPr>
                <w:color w:val="000000"/>
              </w:rPr>
              <w:t>83,8%</w:t>
            </w:r>
          </w:p>
        </w:tc>
        <w:tc>
          <w:tcPr>
            <w:tcW w:w="660" w:type="pct"/>
            <w:tcBorders>
              <w:top w:val="single" w:sz="4" w:space="0" w:color="auto"/>
              <w:left w:val="nil"/>
              <w:bottom w:val="single" w:sz="8" w:space="0" w:color="auto"/>
              <w:right w:val="single" w:sz="8" w:space="0" w:color="auto"/>
            </w:tcBorders>
            <w:noWrap/>
            <w:vAlign w:val="center"/>
          </w:tcPr>
          <w:p w:rsidR="00D4483D" w:rsidRDefault="00D4483D">
            <w:pPr>
              <w:jc w:val="center"/>
              <w:rPr>
                <w:color w:val="000000"/>
              </w:rPr>
            </w:pPr>
            <w:r>
              <w:rPr>
                <w:color w:val="000000"/>
              </w:rPr>
              <w:t>86,0%</w:t>
            </w:r>
          </w:p>
        </w:tc>
        <w:tc>
          <w:tcPr>
            <w:tcW w:w="661" w:type="pct"/>
            <w:tcBorders>
              <w:top w:val="single" w:sz="4" w:space="0" w:color="auto"/>
              <w:left w:val="nil"/>
              <w:bottom w:val="single" w:sz="8" w:space="0" w:color="auto"/>
              <w:right w:val="single" w:sz="8" w:space="0" w:color="auto"/>
            </w:tcBorders>
            <w:noWrap/>
            <w:vAlign w:val="center"/>
          </w:tcPr>
          <w:p w:rsidR="00D4483D" w:rsidRDefault="00D4483D">
            <w:pPr>
              <w:jc w:val="center"/>
              <w:rPr>
                <w:color w:val="000000"/>
              </w:rPr>
            </w:pPr>
            <w:r>
              <w:rPr>
                <w:color w:val="000000"/>
              </w:rPr>
              <w:t>88,9%</w:t>
            </w:r>
          </w:p>
        </w:tc>
        <w:tc>
          <w:tcPr>
            <w:tcW w:w="661" w:type="pct"/>
            <w:tcBorders>
              <w:top w:val="single" w:sz="4" w:space="0" w:color="auto"/>
              <w:left w:val="nil"/>
              <w:bottom w:val="single" w:sz="8" w:space="0" w:color="auto"/>
              <w:right w:val="single" w:sz="8" w:space="0" w:color="auto"/>
            </w:tcBorders>
            <w:noWrap/>
            <w:vAlign w:val="center"/>
          </w:tcPr>
          <w:p w:rsidR="00D4483D" w:rsidRDefault="00D4483D">
            <w:pPr>
              <w:jc w:val="center"/>
              <w:rPr>
                <w:color w:val="000000"/>
              </w:rPr>
            </w:pPr>
            <w:r>
              <w:rPr>
                <w:color w:val="000000"/>
              </w:rPr>
              <w:t>79,2%</w:t>
            </w:r>
          </w:p>
        </w:tc>
        <w:tc>
          <w:tcPr>
            <w:tcW w:w="660" w:type="pct"/>
            <w:tcBorders>
              <w:top w:val="single" w:sz="4" w:space="0" w:color="auto"/>
              <w:left w:val="nil"/>
              <w:bottom w:val="single" w:sz="8" w:space="0" w:color="auto"/>
              <w:right w:val="single" w:sz="8" w:space="0" w:color="auto"/>
            </w:tcBorders>
            <w:noWrap/>
            <w:vAlign w:val="center"/>
          </w:tcPr>
          <w:p w:rsidR="00D4483D" w:rsidRDefault="00D4483D">
            <w:pPr>
              <w:jc w:val="center"/>
              <w:rPr>
                <w:color w:val="000000"/>
              </w:rPr>
            </w:pPr>
            <w:r>
              <w:rPr>
                <w:color w:val="000000"/>
              </w:rPr>
              <w:t>73,5%</w:t>
            </w:r>
          </w:p>
        </w:tc>
      </w:tr>
      <w:tr w:rsidR="00D4483D" w:rsidRPr="00261067" w:rsidTr="00AC4133">
        <w:trPr>
          <w:trHeight w:val="282"/>
        </w:trPr>
        <w:tc>
          <w:tcPr>
            <w:tcW w:w="1699" w:type="pct"/>
            <w:tcBorders>
              <w:top w:val="single" w:sz="4" w:space="0" w:color="auto"/>
              <w:left w:val="single" w:sz="4" w:space="0" w:color="auto"/>
              <w:bottom w:val="single" w:sz="4" w:space="0" w:color="auto"/>
              <w:right w:val="single" w:sz="4" w:space="0" w:color="auto"/>
            </w:tcBorders>
            <w:noWrap/>
            <w:vAlign w:val="center"/>
          </w:tcPr>
          <w:p w:rsidR="00D4483D" w:rsidRPr="00ED343B" w:rsidRDefault="00D4483D" w:rsidP="00766CA8">
            <w:pPr>
              <w:rPr>
                <w:b/>
                <w:szCs w:val="20"/>
              </w:rPr>
            </w:pPr>
            <w:r w:rsidRPr="00ED343B">
              <w:rPr>
                <w:b/>
                <w:szCs w:val="20"/>
              </w:rPr>
              <w:t xml:space="preserve">Indice Linéaire de Pertes </w:t>
            </w:r>
          </w:p>
          <w:p w:rsidR="00D4483D" w:rsidRPr="00ED343B" w:rsidRDefault="00D4483D" w:rsidP="00766CA8">
            <w:pPr>
              <w:rPr>
                <w:b/>
                <w:szCs w:val="20"/>
              </w:rPr>
            </w:pPr>
            <w:r w:rsidRPr="00ED343B">
              <w:rPr>
                <w:b/>
                <w:szCs w:val="20"/>
              </w:rPr>
              <w:t>(en m</w:t>
            </w:r>
            <w:r w:rsidRPr="00ED343B">
              <w:rPr>
                <w:b/>
                <w:szCs w:val="20"/>
                <w:vertAlign w:val="superscript"/>
              </w:rPr>
              <w:t>3</w:t>
            </w:r>
            <w:r w:rsidRPr="00ED343B">
              <w:rPr>
                <w:b/>
                <w:szCs w:val="20"/>
              </w:rPr>
              <w:t>/j/km)</w:t>
            </w:r>
          </w:p>
        </w:tc>
        <w:tc>
          <w:tcPr>
            <w:tcW w:w="659" w:type="pct"/>
            <w:tcBorders>
              <w:top w:val="single" w:sz="4" w:space="0" w:color="auto"/>
              <w:left w:val="nil"/>
              <w:bottom w:val="single" w:sz="4" w:space="0" w:color="auto"/>
              <w:right w:val="single" w:sz="4" w:space="0" w:color="auto"/>
            </w:tcBorders>
            <w:noWrap/>
            <w:vAlign w:val="center"/>
          </w:tcPr>
          <w:p w:rsidR="00D4483D" w:rsidRDefault="00D4483D">
            <w:pPr>
              <w:jc w:val="center"/>
              <w:rPr>
                <w:color w:val="000000"/>
              </w:rPr>
            </w:pPr>
            <w:r>
              <w:rPr>
                <w:color w:val="000000"/>
              </w:rPr>
              <w:t>3,63</w:t>
            </w:r>
          </w:p>
        </w:tc>
        <w:tc>
          <w:tcPr>
            <w:tcW w:w="660" w:type="pct"/>
            <w:tcBorders>
              <w:top w:val="single" w:sz="4" w:space="0" w:color="auto"/>
              <w:left w:val="single" w:sz="4" w:space="0" w:color="auto"/>
              <w:bottom w:val="single" w:sz="4" w:space="0" w:color="auto"/>
              <w:right w:val="single" w:sz="4" w:space="0" w:color="auto"/>
            </w:tcBorders>
            <w:noWrap/>
            <w:vAlign w:val="center"/>
          </w:tcPr>
          <w:p w:rsidR="00D4483D" w:rsidRDefault="00D4483D">
            <w:pPr>
              <w:jc w:val="center"/>
              <w:rPr>
                <w:color w:val="000000"/>
              </w:rPr>
            </w:pPr>
            <w:r>
              <w:rPr>
                <w:color w:val="000000"/>
              </w:rPr>
              <w:t>3,20</w:t>
            </w:r>
          </w:p>
        </w:tc>
        <w:tc>
          <w:tcPr>
            <w:tcW w:w="661" w:type="pct"/>
            <w:tcBorders>
              <w:top w:val="single" w:sz="4" w:space="0" w:color="auto"/>
              <w:left w:val="single" w:sz="4" w:space="0" w:color="auto"/>
              <w:bottom w:val="single" w:sz="4" w:space="0" w:color="auto"/>
              <w:right w:val="single" w:sz="4" w:space="0" w:color="auto"/>
            </w:tcBorders>
            <w:noWrap/>
            <w:vAlign w:val="center"/>
          </w:tcPr>
          <w:p w:rsidR="00D4483D" w:rsidRDefault="00D4483D">
            <w:pPr>
              <w:jc w:val="center"/>
              <w:rPr>
                <w:color w:val="000000"/>
              </w:rPr>
            </w:pPr>
            <w:r>
              <w:rPr>
                <w:color w:val="000000"/>
              </w:rPr>
              <w:t>2,55</w:t>
            </w:r>
          </w:p>
        </w:tc>
        <w:tc>
          <w:tcPr>
            <w:tcW w:w="661" w:type="pct"/>
            <w:tcBorders>
              <w:top w:val="single" w:sz="4" w:space="0" w:color="auto"/>
              <w:left w:val="single" w:sz="4" w:space="0" w:color="auto"/>
              <w:bottom w:val="single" w:sz="4" w:space="0" w:color="auto"/>
              <w:right w:val="single" w:sz="4" w:space="0" w:color="auto"/>
            </w:tcBorders>
            <w:noWrap/>
            <w:vAlign w:val="center"/>
          </w:tcPr>
          <w:p w:rsidR="00D4483D" w:rsidRDefault="00D4483D">
            <w:pPr>
              <w:jc w:val="center"/>
              <w:rPr>
                <w:color w:val="000000"/>
              </w:rPr>
            </w:pPr>
            <w:r>
              <w:rPr>
                <w:color w:val="000000"/>
              </w:rPr>
              <w:t>4,89</w:t>
            </w:r>
          </w:p>
        </w:tc>
        <w:tc>
          <w:tcPr>
            <w:tcW w:w="660" w:type="pct"/>
            <w:tcBorders>
              <w:top w:val="single" w:sz="4" w:space="0" w:color="auto"/>
              <w:left w:val="single" w:sz="4" w:space="0" w:color="auto"/>
              <w:bottom w:val="single" w:sz="4" w:space="0" w:color="auto"/>
              <w:right w:val="single" w:sz="4" w:space="0" w:color="auto"/>
            </w:tcBorders>
            <w:noWrap/>
            <w:vAlign w:val="center"/>
          </w:tcPr>
          <w:p w:rsidR="00D4483D" w:rsidRDefault="00D4483D">
            <w:pPr>
              <w:jc w:val="center"/>
              <w:rPr>
                <w:color w:val="000000"/>
              </w:rPr>
            </w:pPr>
            <w:r>
              <w:rPr>
                <w:color w:val="000000"/>
              </w:rPr>
              <w:t>6,72</w:t>
            </w:r>
          </w:p>
        </w:tc>
      </w:tr>
    </w:tbl>
    <w:p w:rsidR="00D4483D" w:rsidRDefault="00D4483D" w:rsidP="00F210A3">
      <w:pPr>
        <w:pStyle w:val="Datelettre"/>
        <w:spacing w:after="0"/>
        <w:ind w:left="0" w:right="3"/>
        <w:jc w:val="center"/>
        <w:rPr>
          <w:noProof w:val="0"/>
          <w:sz w:val="24"/>
          <w:lang w:val="fr-FR"/>
        </w:rPr>
      </w:pPr>
    </w:p>
    <w:p w:rsidR="00D4483D" w:rsidRDefault="00D4483D" w:rsidP="00F210A3">
      <w:pPr>
        <w:pStyle w:val="Datelettre"/>
        <w:spacing w:after="0"/>
        <w:ind w:left="0" w:right="3"/>
        <w:jc w:val="center"/>
        <w:rPr>
          <w:noProof w:val="0"/>
          <w:sz w:val="24"/>
          <w:lang w:val="fr-FR"/>
        </w:rPr>
      </w:pPr>
      <w:r w:rsidRPr="00EB738F">
        <w:rPr>
          <w:sz w:val="24"/>
          <w:lang w:val="fr-FR"/>
        </w:rPr>
        <w:pict>
          <v:shape id="Image 14" o:spid="_x0000_i1030" type="#_x0000_t75" style="width:362.25pt;height:244.5pt;visibility:visible">
            <v:imagedata r:id="rId16" o:title=""/>
          </v:shape>
        </w:pict>
      </w:r>
    </w:p>
    <w:p w:rsidR="00D4483D" w:rsidRDefault="00D4483D" w:rsidP="00946EB4">
      <w:pPr>
        <w:pStyle w:val="Datelettre"/>
        <w:spacing w:after="0"/>
        <w:ind w:left="0" w:right="3"/>
        <w:jc w:val="both"/>
        <w:rPr>
          <w:noProof w:val="0"/>
          <w:sz w:val="24"/>
          <w:lang w:val="fr-FR"/>
        </w:rPr>
      </w:pPr>
    </w:p>
    <w:p w:rsidR="00D4483D" w:rsidRDefault="00D4483D" w:rsidP="006C49CE">
      <w:pPr>
        <w:pStyle w:val="Datelettre"/>
        <w:spacing w:after="0"/>
        <w:ind w:left="0" w:right="3"/>
        <w:jc w:val="both"/>
        <w:rPr>
          <w:noProof w:val="0"/>
          <w:sz w:val="24"/>
          <w:lang w:val="fr-FR"/>
        </w:rPr>
      </w:pPr>
      <w:r w:rsidRPr="00627BC4">
        <w:rPr>
          <w:noProof w:val="0"/>
          <w:sz w:val="24"/>
          <w:lang w:val="fr-FR"/>
        </w:rPr>
        <w:t xml:space="preserve">On note une dégradation très </w:t>
      </w:r>
      <w:r>
        <w:rPr>
          <w:noProof w:val="0"/>
          <w:sz w:val="24"/>
          <w:lang w:val="fr-FR"/>
        </w:rPr>
        <w:t xml:space="preserve">forte </w:t>
      </w:r>
      <w:r w:rsidRPr="00627BC4">
        <w:rPr>
          <w:noProof w:val="0"/>
          <w:sz w:val="24"/>
          <w:lang w:val="fr-FR"/>
        </w:rPr>
        <w:t>du rendement de réseau en 2011 puis en 2012</w:t>
      </w:r>
      <w:r>
        <w:rPr>
          <w:noProof w:val="0"/>
          <w:sz w:val="24"/>
          <w:lang w:val="fr-FR"/>
        </w:rPr>
        <w:t>, sans explication particulière dans les rapports annuels du Délégataire. Celui-ci indique réaliser des campagnes de recherche de fuites ; on peut considérer que celles-ci s’avèrent peu efficaces et l’utilisation de moyens plus performants pourrait s’avérer plus pertinente pour revenir au niveau performant de 2008-2010.</w:t>
      </w:r>
    </w:p>
    <w:p w:rsidR="00D4483D" w:rsidRPr="00627BC4" w:rsidRDefault="00D4483D" w:rsidP="006C49CE">
      <w:pPr>
        <w:pStyle w:val="Datelettre"/>
        <w:spacing w:after="0"/>
        <w:ind w:left="0" w:right="3"/>
        <w:jc w:val="both"/>
        <w:rPr>
          <w:noProof w:val="0"/>
          <w:sz w:val="24"/>
          <w:lang w:val="fr-FR"/>
        </w:rPr>
      </w:pPr>
    </w:p>
    <w:p w:rsidR="00D4483D" w:rsidRPr="00627BC4" w:rsidRDefault="00D4483D" w:rsidP="0094797F">
      <w:pPr>
        <w:pStyle w:val="Datelettre"/>
        <w:spacing w:after="0"/>
        <w:ind w:left="0" w:right="3"/>
        <w:jc w:val="both"/>
        <w:rPr>
          <w:noProof w:val="0"/>
          <w:sz w:val="24"/>
          <w:lang w:val="fr-FR"/>
        </w:rPr>
      </w:pPr>
      <w:r w:rsidRPr="00627BC4">
        <w:rPr>
          <w:noProof w:val="0"/>
          <w:sz w:val="24"/>
          <w:lang w:val="fr-FR"/>
        </w:rPr>
        <w:t xml:space="preserve">Le </w:t>
      </w:r>
      <w:r>
        <w:rPr>
          <w:noProof w:val="0"/>
          <w:sz w:val="24"/>
          <w:lang w:val="fr-FR"/>
        </w:rPr>
        <w:t xml:space="preserve">contrat </w:t>
      </w:r>
      <w:r w:rsidRPr="00627BC4">
        <w:rPr>
          <w:noProof w:val="0"/>
          <w:sz w:val="24"/>
          <w:lang w:val="fr-FR"/>
        </w:rPr>
        <w:t xml:space="preserve">ne </w:t>
      </w:r>
      <w:r>
        <w:rPr>
          <w:noProof w:val="0"/>
          <w:sz w:val="24"/>
          <w:lang w:val="fr-FR"/>
        </w:rPr>
        <w:t xml:space="preserve">prévoit </w:t>
      </w:r>
      <w:r w:rsidRPr="00627BC4">
        <w:rPr>
          <w:noProof w:val="0"/>
          <w:sz w:val="24"/>
          <w:lang w:val="fr-FR"/>
        </w:rPr>
        <w:t xml:space="preserve">toutefois pas d’engagement </w:t>
      </w:r>
      <w:r>
        <w:rPr>
          <w:noProof w:val="0"/>
          <w:sz w:val="24"/>
          <w:lang w:val="fr-FR"/>
        </w:rPr>
        <w:t xml:space="preserve">du délégataire </w:t>
      </w:r>
      <w:r w:rsidRPr="00627BC4">
        <w:rPr>
          <w:noProof w:val="0"/>
          <w:sz w:val="24"/>
          <w:lang w:val="fr-FR"/>
        </w:rPr>
        <w:t>en matière de rendement.</w:t>
      </w:r>
    </w:p>
    <w:p w:rsidR="00D4483D" w:rsidRDefault="00D4483D" w:rsidP="003A23B1">
      <w:pPr>
        <w:pStyle w:val="Datelettre"/>
        <w:spacing w:after="0"/>
        <w:ind w:left="0" w:right="3"/>
        <w:jc w:val="both"/>
        <w:rPr>
          <w:noProof w:val="0"/>
          <w:sz w:val="24"/>
          <w:lang w:val="fr-FR"/>
        </w:rPr>
      </w:pPr>
    </w:p>
    <w:p w:rsidR="00D4483D" w:rsidRPr="00CC33AD" w:rsidRDefault="00D4483D" w:rsidP="00946EB4">
      <w:pPr>
        <w:pStyle w:val="Datelettre"/>
        <w:spacing w:after="0"/>
        <w:ind w:left="0" w:right="3"/>
        <w:jc w:val="both"/>
        <w:rPr>
          <w:noProof w:val="0"/>
          <w:sz w:val="24"/>
          <w:lang w:val="fr-FR"/>
        </w:rPr>
      </w:pPr>
      <w:r w:rsidRPr="00427FDE">
        <w:rPr>
          <w:b/>
          <w:noProof w:val="0"/>
          <w:sz w:val="24"/>
          <w:lang w:val="fr-FR"/>
        </w:rPr>
        <w:t>L’indice linéaire de pertes</w:t>
      </w:r>
      <w:r w:rsidRPr="00CC33AD">
        <w:rPr>
          <w:noProof w:val="0"/>
          <w:sz w:val="24"/>
          <w:lang w:val="fr-FR"/>
        </w:rPr>
        <w:t xml:space="preserve"> (ILP) reflète plus fidèlement le niveau de performance, puisqu’il est généralement admis qu’il soit indépendant de l’évolution des consommations.</w:t>
      </w:r>
    </w:p>
    <w:p w:rsidR="00D4483D" w:rsidRPr="00F23AE1" w:rsidRDefault="00D4483D" w:rsidP="00946EB4">
      <w:pPr>
        <w:pStyle w:val="Datelettre"/>
        <w:spacing w:after="0"/>
        <w:ind w:left="0" w:right="3"/>
        <w:jc w:val="both"/>
        <w:rPr>
          <w:noProof w:val="0"/>
          <w:sz w:val="24"/>
          <w:lang w:val="fr-FR"/>
        </w:rPr>
      </w:pPr>
    </w:p>
    <w:p w:rsidR="00D4483D" w:rsidRDefault="00D4483D" w:rsidP="00946EB4">
      <w:pPr>
        <w:pStyle w:val="Datelettre"/>
        <w:spacing w:after="0"/>
        <w:ind w:left="0" w:right="3"/>
        <w:jc w:val="both"/>
        <w:rPr>
          <w:noProof w:val="0"/>
          <w:sz w:val="24"/>
          <w:lang w:val="fr-FR"/>
        </w:rPr>
      </w:pPr>
      <w:r w:rsidRPr="00627BC4">
        <w:rPr>
          <w:b/>
          <w:noProof w:val="0"/>
          <w:sz w:val="24"/>
          <w:lang w:val="fr-FR"/>
        </w:rPr>
        <w:t>L’indice linéaire de consommations</w:t>
      </w:r>
      <w:r w:rsidRPr="00627BC4">
        <w:rPr>
          <w:noProof w:val="0"/>
          <w:sz w:val="24"/>
          <w:lang w:val="fr-FR"/>
        </w:rPr>
        <w:t xml:space="preserve"> (ILC) estde 18,61 m</w:t>
      </w:r>
      <w:r w:rsidRPr="00627BC4">
        <w:rPr>
          <w:noProof w:val="0"/>
          <w:sz w:val="24"/>
          <w:vertAlign w:val="superscript"/>
          <w:lang w:val="fr-FR"/>
        </w:rPr>
        <w:t>3</w:t>
      </w:r>
      <w:r w:rsidRPr="00627BC4">
        <w:rPr>
          <w:noProof w:val="0"/>
          <w:sz w:val="24"/>
          <w:lang w:val="fr-FR"/>
        </w:rPr>
        <w:t xml:space="preserve"> consommés par jour et par km, ce qui situe </w:t>
      </w:r>
      <w:r>
        <w:rPr>
          <w:noProof w:val="0"/>
          <w:sz w:val="24"/>
          <w:lang w:val="fr-FR"/>
        </w:rPr>
        <w:t xml:space="preserve">le réseau de la commune </w:t>
      </w:r>
      <w:r w:rsidRPr="00627BC4">
        <w:rPr>
          <w:noProof w:val="0"/>
          <w:sz w:val="24"/>
          <w:lang w:val="fr-FR"/>
        </w:rPr>
        <w:t xml:space="preserve">au niveau d’un réseau </w:t>
      </w:r>
      <w:r>
        <w:rPr>
          <w:noProof w:val="0"/>
          <w:sz w:val="24"/>
          <w:lang w:val="fr-FR"/>
        </w:rPr>
        <w:t>« </w:t>
      </w:r>
      <w:r w:rsidRPr="00627BC4">
        <w:rPr>
          <w:noProof w:val="0"/>
          <w:sz w:val="24"/>
          <w:lang w:val="fr-FR"/>
        </w:rPr>
        <w:t>semi-rural</w:t>
      </w:r>
      <w:r>
        <w:rPr>
          <w:noProof w:val="0"/>
          <w:sz w:val="24"/>
          <w:lang w:val="fr-FR"/>
        </w:rPr>
        <w:t> »</w:t>
      </w:r>
      <w:r w:rsidRPr="00627BC4">
        <w:rPr>
          <w:noProof w:val="0"/>
          <w:sz w:val="24"/>
          <w:lang w:val="fr-FR"/>
        </w:rPr>
        <w:t>selon la grille d’appréciation ci-après de l’Agence de l’Eau.</w:t>
      </w:r>
    </w:p>
    <w:p w:rsidR="00D4483D" w:rsidRPr="00FB5640" w:rsidRDefault="00D4483D" w:rsidP="00946EB4">
      <w:pPr>
        <w:pStyle w:val="Datelettre"/>
        <w:spacing w:after="0"/>
        <w:ind w:left="0" w:right="3"/>
        <w:jc w:val="both"/>
        <w:rPr>
          <w:noProof w:val="0"/>
          <w:sz w:val="24"/>
          <w:lang w:val="fr-FR"/>
        </w:rPr>
      </w:pPr>
    </w:p>
    <w:p w:rsidR="00D4483D" w:rsidRPr="006C5F29" w:rsidRDefault="00D4483D" w:rsidP="00946EB4">
      <w:pPr>
        <w:pStyle w:val="Datelettre"/>
        <w:spacing w:after="0"/>
        <w:ind w:left="0" w:right="3"/>
        <w:jc w:val="center"/>
        <w:rPr>
          <w:noProof w:val="0"/>
          <w:sz w:val="24"/>
          <w:highlight w:val="yellow"/>
          <w:lang w:val="fr-FR"/>
        </w:rPr>
      </w:pPr>
      <w:r w:rsidRPr="00EB738F">
        <w:rPr>
          <w:sz w:val="24"/>
          <w:lang w:val="fr-FR"/>
        </w:rPr>
        <w:pict>
          <v:shape id="Image 8" o:spid="_x0000_i1031" type="#_x0000_t75" style="width:270pt;height:153.75pt;visibility:visible">
            <v:imagedata r:id="rId17" o:title=""/>
          </v:shape>
        </w:pict>
      </w:r>
    </w:p>
    <w:p w:rsidR="00D4483D" w:rsidRPr="00223044" w:rsidRDefault="00D4483D" w:rsidP="00946EB4">
      <w:pPr>
        <w:pStyle w:val="Datelettre"/>
        <w:spacing w:after="0"/>
        <w:ind w:left="0" w:right="3"/>
        <w:jc w:val="both"/>
        <w:rPr>
          <w:noProof w:val="0"/>
          <w:sz w:val="24"/>
          <w:lang w:val="fr-FR"/>
        </w:rPr>
      </w:pPr>
    </w:p>
    <w:p w:rsidR="00D4483D" w:rsidRPr="00E86FB1" w:rsidRDefault="00D4483D" w:rsidP="00946EB4">
      <w:pPr>
        <w:pStyle w:val="Datelettre"/>
        <w:spacing w:after="0"/>
        <w:ind w:left="0" w:right="3"/>
        <w:jc w:val="both"/>
        <w:rPr>
          <w:noProof w:val="0"/>
          <w:sz w:val="24"/>
          <w:lang w:val="fr-FR"/>
        </w:rPr>
      </w:pPr>
      <w:r w:rsidRPr="00627BC4">
        <w:rPr>
          <w:noProof w:val="0"/>
          <w:sz w:val="24"/>
          <w:lang w:val="fr-FR"/>
        </w:rPr>
        <w:t xml:space="preserve">Selon cette grille d’appréciation, on constate que </w:t>
      </w:r>
      <w:r w:rsidRPr="00FC2CA6">
        <w:rPr>
          <w:b/>
          <w:noProof w:val="0"/>
          <w:sz w:val="24"/>
          <w:u w:val="single"/>
          <w:lang w:val="fr-FR"/>
        </w:rPr>
        <w:t>l’indice linéaire de pertes est qualifié de « médiocre »</w:t>
      </w:r>
      <w:r>
        <w:rPr>
          <w:noProof w:val="0"/>
          <w:sz w:val="24"/>
          <w:lang w:val="fr-FR"/>
        </w:rPr>
        <w:t xml:space="preserve">, alors qu’il était au niveau « bon » en 2010 et au niveau « acceptable » les </w:t>
      </w:r>
      <w:r w:rsidRPr="00E86FB1">
        <w:rPr>
          <w:noProof w:val="0"/>
          <w:sz w:val="24"/>
          <w:lang w:val="fr-FR"/>
        </w:rPr>
        <w:t>années précédentes.</w:t>
      </w:r>
    </w:p>
    <w:p w:rsidR="00D4483D" w:rsidRPr="00E86FB1" w:rsidRDefault="00D4483D" w:rsidP="00A7559F">
      <w:pPr>
        <w:pStyle w:val="Datelettre"/>
        <w:spacing w:after="0"/>
        <w:ind w:left="0" w:right="3"/>
        <w:jc w:val="both"/>
        <w:rPr>
          <w:noProof w:val="0"/>
          <w:sz w:val="24"/>
          <w:lang w:val="fr-FR"/>
        </w:rPr>
      </w:pPr>
    </w:p>
    <w:p w:rsidR="00D4483D" w:rsidRPr="00E86FB1" w:rsidRDefault="00D4483D" w:rsidP="00A7559F">
      <w:pPr>
        <w:pStyle w:val="Datelettre"/>
        <w:spacing w:after="0"/>
        <w:ind w:left="0" w:right="3"/>
        <w:jc w:val="both"/>
        <w:rPr>
          <w:noProof w:val="0"/>
          <w:sz w:val="24"/>
          <w:lang w:val="fr-FR"/>
        </w:rPr>
      </w:pPr>
      <w:r w:rsidRPr="00E86FB1">
        <w:rPr>
          <w:noProof w:val="0"/>
          <w:sz w:val="24"/>
          <w:lang w:val="fr-FR"/>
        </w:rPr>
        <w:t>L’amélioration</w:t>
      </w:r>
      <w:r>
        <w:rPr>
          <w:noProof w:val="0"/>
          <w:sz w:val="24"/>
          <w:lang w:val="fr-FR"/>
        </w:rPr>
        <w:t xml:space="preserve"> </w:t>
      </w:r>
      <w:r w:rsidRPr="00E86FB1">
        <w:rPr>
          <w:noProof w:val="0"/>
          <w:sz w:val="24"/>
          <w:lang w:val="fr-FR"/>
        </w:rPr>
        <w:t xml:space="preserve">du niveau de rendement pour atteindre un « bon » niveau (ILP inférieur à </w:t>
      </w:r>
      <w:r>
        <w:rPr>
          <w:noProof w:val="0"/>
          <w:sz w:val="24"/>
          <w:lang w:val="fr-FR"/>
        </w:rPr>
        <w:br/>
      </w:r>
      <w:r w:rsidRPr="00E86FB1">
        <w:rPr>
          <w:noProof w:val="0"/>
          <w:sz w:val="24"/>
          <w:lang w:val="fr-FR"/>
        </w:rPr>
        <w:t>3 m</w:t>
      </w:r>
      <w:r w:rsidRPr="00E86FB1">
        <w:rPr>
          <w:noProof w:val="0"/>
          <w:sz w:val="24"/>
          <w:vertAlign w:val="superscript"/>
          <w:lang w:val="fr-FR"/>
        </w:rPr>
        <w:t>3</w:t>
      </w:r>
      <w:r w:rsidRPr="00E86FB1">
        <w:rPr>
          <w:noProof w:val="0"/>
          <w:sz w:val="24"/>
          <w:lang w:val="fr-FR"/>
        </w:rPr>
        <w:t xml:space="preserve">/j/km, soit un rendement de 86,1 % sur l’ensemble du périmètre), </w:t>
      </w:r>
      <w:r>
        <w:rPr>
          <w:noProof w:val="0"/>
          <w:sz w:val="24"/>
          <w:lang w:val="fr-FR"/>
        </w:rPr>
        <w:t xml:space="preserve">peut </w:t>
      </w:r>
      <w:r w:rsidRPr="00E86FB1">
        <w:rPr>
          <w:noProof w:val="0"/>
          <w:sz w:val="24"/>
          <w:lang w:val="fr-FR"/>
        </w:rPr>
        <w:t>constitue</w:t>
      </w:r>
      <w:r>
        <w:rPr>
          <w:noProof w:val="0"/>
          <w:sz w:val="24"/>
          <w:lang w:val="fr-FR"/>
        </w:rPr>
        <w:t>r un objectif, et</w:t>
      </w:r>
      <w:r w:rsidRPr="00E86FB1">
        <w:rPr>
          <w:noProof w:val="0"/>
          <w:sz w:val="24"/>
          <w:lang w:val="fr-FR"/>
        </w:rPr>
        <w:t xml:space="preserve"> un axe de progrès </w:t>
      </w:r>
      <w:r>
        <w:rPr>
          <w:noProof w:val="0"/>
          <w:sz w:val="24"/>
          <w:lang w:val="fr-FR"/>
        </w:rPr>
        <w:t>majeur pour le service</w:t>
      </w:r>
      <w:r w:rsidRPr="00E86FB1">
        <w:rPr>
          <w:noProof w:val="0"/>
          <w:sz w:val="24"/>
          <w:lang w:val="fr-FR"/>
        </w:rPr>
        <w:t xml:space="preserve">, notamment par l’utilisation de technologies récentes permettant d’accélérer la détection des fuites, donc </w:t>
      </w:r>
      <w:r>
        <w:rPr>
          <w:noProof w:val="0"/>
          <w:sz w:val="24"/>
          <w:lang w:val="fr-FR"/>
        </w:rPr>
        <w:t xml:space="preserve">de réduire </w:t>
      </w:r>
      <w:r w:rsidRPr="00E86FB1">
        <w:rPr>
          <w:noProof w:val="0"/>
          <w:sz w:val="24"/>
          <w:lang w:val="fr-FR"/>
        </w:rPr>
        <w:t>le volume perdu sur chaque fuite. L’atteinte de ce niveau représenterait une</w:t>
      </w:r>
      <w:r>
        <w:rPr>
          <w:noProof w:val="0"/>
          <w:sz w:val="24"/>
          <w:lang w:val="fr-FR"/>
        </w:rPr>
        <w:t xml:space="preserve"> </w:t>
      </w:r>
      <w:r w:rsidRPr="00E86FB1">
        <w:rPr>
          <w:noProof w:val="0"/>
          <w:sz w:val="24"/>
          <w:lang w:val="fr-FR"/>
        </w:rPr>
        <w:t>diminution de plus de la moitié des</w:t>
      </w:r>
      <w:r>
        <w:rPr>
          <w:noProof w:val="0"/>
          <w:sz w:val="24"/>
          <w:lang w:val="fr-FR"/>
        </w:rPr>
        <w:t xml:space="preserve"> </w:t>
      </w:r>
      <w:r w:rsidRPr="00E86FB1">
        <w:rPr>
          <w:noProof w:val="0"/>
          <w:sz w:val="24"/>
          <w:lang w:val="fr-FR"/>
        </w:rPr>
        <w:t>volumes perdus.</w:t>
      </w:r>
    </w:p>
    <w:p w:rsidR="00D4483D" w:rsidRPr="00E86FB1" w:rsidRDefault="00D4483D" w:rsidP="00946EB4">
      <w:pPr>
        <w:jc w:val="both"/>
      </w:pPr>
    </w:p>
    <w:p w:rsidR="00D4483D" w:rsidRPr="00E86FB1" w:rsidRDefault="00D4483D" w:rsidP="00A06DB1">
      <w:pPr>
        <w:jc w:val="both"/>
      </w:pPr>
      <w:r w:rsidRPr="00E86FB1">
        <w:t>De plus, afin de pallier les pertes d’eau dans le cadre d’une gestion pérenne et efficace des réseaux d’eau potable, les collectivités gestionnaires des services d’eau potable doivent désormais satisfaire, sur leurs réseaux, à un taux de rendement tel que fixé par le décret n°2012-97 du 27 janvier 2012, soit 85 % en milieu urbain et 70 % en milieu rural. En cas de non-respect, obligation leur est faite d'établir un « plan d'actions comprenant, s'il y a lieu, un projet de programme pluriannuel de travaux d'amélioration du réseau ».</w:t>
      </w:r>
    </w:p>
    <w:p w:rsidR="00D4483D" w:rsidRPr="00E86FB1" w:rsidRDefault="00D4483D" w:rsidP="00A06DB1">
      <w:pPr>
        <w:jc w:val="both"/>
      </w:pPr>
    </w:p>
    <w:p w:rsidR="00D4483D" w:rsidRPr="00E86FB1" w:rsidRDefault="00D4483D" w:rsidP="00A06DB1">
      <w:pPr>
        <w:jc w:val="both"/>
      </w:pPr>
      <w:r w:rsidRPr="00E86FB1">
        <w:t>En cas d'absence de plan d'actions, la redevance pour alimentation en eau potable de l'Agence de l'Eau, due par l’exploitant du service d’eau potable, fera l’objet d’une majoration.</w:t>
      </w:r>
    </w:p>
    <w:p w:rsidR="00D4483D" w:rsidRPr="00E86FB1" w:rsidRDefault="00D4483D" w:rsidP="00A06DB1">
      <w:pPr>
        <w:jc w:val="both"/>
      </w:pPr>
    </w:p>
    <w:p w:rsidR="00D4483D" w:rsidRDefault="00D4483D" w:rsidP="00A06DB1">
      <w:pPr>
        <w:jc w:val="both"/>
        <w:rPr>
          <w:b/>
        </w:rPr>
      </w:pPr>
      <w:r w:rsidRPr="00E86FB1">
        <w:rPr>
          <w:b/>
        </w:rPr>
        <w:t xml:space="preserve">On constate que le rendement </w:t>
      </w:r>
      <w:r>
        <w:rPr>
          <w:b/>
        </w:rPr>
        <w:t>des réseaux de la commune</w:t>
      </w:r>
      <w:r w:rsidRPr="00E86FB1">
        <w:rPr>
          <w:b/>
        </w:rPr>
        <w:t xml:space="preserve"> est </w:t>
      </w:r>
      <w:r>
        <w:rPr>
          <w:b/>
        </w:rPr>
        <w:t xml:space="preserve">supérieur </w:t>
      </w:r>
      <w:r w:rsidRPr="00E86FB1">
        <w:rPr>
          <w:b/>
        </w:rPr>
        <w:t>au seuil de rendement défini par la réglementation</w:t>
      </w:r>
      <w:r>
        <w:rPr>
          <w:b/>
        </w:rPr>
        <w:t xml:space="preserve"> (68,5%)</w:t>
      </w:r>
      <w:r w:rsidRPr="00E86FB1">
        <w:rPr>
          <w:b/>
        </w:rPr>
        <w:t>, se situant en 2012, à 73,5 %</w:t>
      </w:r>
      <w:r>
        <w:rPr>
          <w:b/>
        </w:rPr>
        <w:t xml:space="preserve">. </w:t>
      </w:r>
    </w:p>
    <w:p w:rsidR="00D4483D" w:rsidRDefault="00D4483D" w:rsidP="00A06DB1">
      <w:pPr>
        <w:jc w:val="both"/>
      </w:pPr>
      <w:r>
        <w:rPr>
          <w:b/>
        </w:rPr>
        <w:t>Concernant l’obtention de subventions par le Conseil Général en cas de travaux</w:t>
      </w:r>
      <w:r w:rsidRPr="00E86FB1">
        <w:t>.</w:t>
      </w:r>
      <w:r>
        <w:rPr>
          <w:b/>
        </w:rPr>
        <w:t xml:space="preserve"> Il est toutefois noté qu’un seuil de rendement de 85 % est exigé.</w:t>
      </w:r>
      <w:r w:rsidRPr="00E86FB1" w:rsidDel="00896A4C">
        <w:t xml:space="preserve"> </w:t>
      </w:r>
    </w:p>
    <w:p w:rsidR="00D4483D" w:rsidRDefault="00D4483D" w:rsidP="00B846AD">
      <w:pPr>
        <w:jc w:val="both"/>
      </w:pPr>
    </w:p>
    <w:p w:rsidR="00D4483D" w:rsidRDefault="00D4483D" w:rsidP="00B846AD">
      <w:pPr>
        <w:jc w:val="both"/>
      </w:pPr>
    </w:p>
    <w:p w:rsidR="00D4483D" w:rsidRDefault="00D4483D">
      <w:pPr>
        <w:spacing w:after="200" w:line="276" w:lineRule="auto"/>
        <w:rPr>
          <w:b/>
          <w:u w:val="single"/>
        </w:rPr>
      </w:pPr>
      <w:r>
        <w:rPr>
          <w:b/>
          <w:u w:val="single"/>
        </w:rPr>
        <w:br w:type="page"/>
      </w:r>
    </w:p>
    <w:p w:rsidR="00D4483D" w:rsidRPr="00FB5640" w:rsidRDefault="00D4483D" w:rsidP="00F434FA">
      <w:pPr>
        <w:pStyle w:val="ListParagraph"/>
        <w:numPr>
          <w:ilvl w:val="0"/>
          <w:numId w:val="24"/>
        </w:numPr>
        <w:jc w:val="both"/>
        <w:rPr>
          <w:b/>
          <w:u w:val="single"/>
        </w:rPr>
      </w:pPr>
      <w:r w:rsidRPr="00FB5640">
        <w:rPr>
          <w:b/>
          <w:u w:val="single"/>
        </w:rPr>
        <w:t xml:space="preserve">Etat des </w:t>
      </w:r>
      <w:r>
        <w:rPr>
          <w:b/>
          <w:u w:val="single"/>
        </w:rPr>
        <w:t>branchements</w:t>
      </w:r>
    </w:p>
    <w:p w:rsidR="00D4483D" w:rsidRDefault="00D4483D" w:rsidP="00946EB4">
      <w:pPr>
        <w:jc w:val="both"/>
      </w:pPr>
    </w:p>
    <w:p w:rsidR="00D4483D" w:rsidRDefault="00D4483D" w:rsidP="00844861">
      <w:pPr>
        <w:pStyle w:val="Datelettre"/>
        <w:spacing w:after="0"/>
        <w:ind w:left="0" w:right="3"/>
        <w:jc w:val="both"/>
        <w:rPr>
          <w:noProof w:val="0"/>
          <w:sz w:val="24"/>
          <w:lang w:val="fr-FR"/>
        </w:rPr>
      </w:pPr>
      <w:r w:rsidRPr="009F0CD4">
        <w:rPr>
          <w:noProof w:val="0"/>
          <w:sz w:val="24"/>
          <w:lang w:val="fr-FR"/>
        </w:rPr>
        <w:t>La réglementation</w:t>
      </w:r>
      <w:r>
        <w:rPr>
          <w:noProof w:val="0"/>
          <w:sz w:val="24"/>
          <w:lang w:val="fr-FR"/>
        </w:rPr>
        <w:t xml:space="preserve"> </w:t>
      </w:r>
      <w:r>
        <w:rPr>
          <w:sz w:val="24"/>
          <w:lang w:val="fr-FR"/>
        </w:rPr>
        <w:t>(d</w:t>
      </w:r>
      <w:r w:rsidRPr="00670DA3">
        <w:rPr>
          <w:sz w:val="24"/>
          <w:lang w:val="fr-FR"/>
        </w:rPr>
        <w:t xml:space="preserve">écret </w:t>
      </w:r>
      <w:r w:rsidRPr="00670DA3">
        <w:rPr>
          <w:rStyle w:val="Strong"/>
          <w:b w:val="0"/>
          <w:sz w:val="24"/>
          <w:lang w:val="fr-FR"/>
        </w:rPr>
        <w:t>n°2001-1220 du 20 décembre 2001</w:t>
      </w:r>
      <w:r w:rsidRPr="00670DA3">
        <w:rPr>
          <w:rFonts w:cs="Calibri"/>
          <w:sz w:val="24"/>
          <w:lang w:val="fr-FR"/>
        </w:rPr>
        <w:t xml:space="preserve"> modifié par le décret </w:t>
      </w:r>
      <w:hyperlink r:id="rId18" w:anchor="JORFTEXT000000412528" w:history="1">
        <w:r w:rsidRPr="00670DA3">
          <w:rPr>
            <w:rStyle w:val="Hyperlink"/>
            <w:sz w:val="24"/>
            <w:lang w:val="fr-FR"/>
          </w:rPr>
          <w:t>2003-462 du 21 mai 2003</w:t>
        </w:r>
      </w:hyperlink>
      <w:r w:rsidRPr="00670DA3">
        <w:rPr>
          <w:sz w:val="24"/>
          <w:lang w:val="fr-FR"/>
        </w:rPr>
        <w:t>)</w:t>
      </w:r>
      <w:r w:rsidRPr="009F0CD4">
        <w:rPr>
          <w:noProof w:val="0"/>
          <w:sz w:val="24"/>
          <w:lang w:val="fr-FR"/>
        </w:rPr>
        <w:t xml:space="preserve"> impose un seuil limite de concentration en plomb de 10 µg/l après le 25 décembre 2013. Cette limite engendre la suppression complète des branchements en plomb à cette échéance. </w:t>
      </w:r>
    </w:p>
    <w:p w:rsidR="00D4483D" w:rsidRDefault="00D4483D" w:rsidP="00844861">
      <w:pPr>
        <w:pStyle w:val="Datelettre"/>
        <w:spacing w:after="0"/>
        <w:ind w:left="0" w:right="3"/>
        <w:jc w:val="both"/>
        <w:rPr>
          <w:noProof w:val="0"/>
          <w:sz w:val="24"/>
          <w:highlight w:val="yellow"/>
          <w:lang w:val="fr-FR"/>
        </w:rPr>
      </w:pPr>
    </w:p>
    <w:p w:rsidR="00D4483D" w:rsidRPr="006965A8" w:rsidRDefault="00D4483D" w:rsidP="006965A8">
      <w:pPr>
        <w:pStyle w:val="Datelettre"/>
        <w:spacing w:after="0"/>
        <w:ind w:left="0" w:right="3"/>
        <w:jc w:val="both"/>
        <w:rPr>
          <w:lang w:val="fr-FR"/>
        </w:rPr>
      </w:pPr>
      <w:r w:rsidRPr="006965A8">
        <w:rPr>
          <w:noProof w:val="0"/>
          <w:sz w:val="24"/>
          <w:lang w:val="fr-FR"/>
        </w:rPr>
        <w:t xml:space="preserve">Dans ce cadre, </w:t>
      </w:r>
      <w:r>
        <w:rPr>
          <w:noProof w:val="0"/>
          <w:sz w:val="24"/>
          <w:lang w:val="fr-FR"/>
        </w:rPr>
        <w:t xml:space="preserve">la Collectivitéréalise régulièrement des opérations de </w:t>
      </w:r>
      <w:r w:rsidRPr="006965A8">
        <w:rPr>
          <w:noProof w:val="0"/>
          <w:sz w:val="24"/>
          <w:lang w:val="fr-FR"/>
        </w:rPr>
        <w:t xml:space="preserve">suppression </w:t>
      </w:r>
      <w:r>
        <w:rPr>
          <w:noProof w:val="0"/>
          <w:sz w:val="24"/>
          <w:lang w:val="fr-FR"/>
        </w:rPr>
        <w:t xml:space="preserve">de </w:t>
      </w:r>
      <w:r w:rsidRPr="006965A8">
        <w:rPr>
          <w:noProof w:val="0"/>
          <w:sz w:val="24"/>
          <w:lang w:val="fr-FR"/>
        </w:rPr>
        <w:t>branchements en plomb</w:t>
      </w:r>
      <w:r>
        <w:rPr>
          <w:noProof w:val="0"/>
          <w:sz w:val="24"/>
          <w:lang w:val="fr-FR"/>
        </w:rPr>
        <w:t>.</w:t>
      </w:r>
    </w:p>
    <w:p w:rsidR="00D4483D" w:rsidRPr="00A42BA5" w:rsidRDefault="00D4483D" w:rsidP="00F737B7">
      <w:pPr>
        <w:jc w:val="both"/>
        <w:rPr>
          <w:b/>
        </w:rPr>
      </w:pPr>
      <w:r w:rsidRPr="009F0CD4">
        <w:t xml:space="preserve">L’exploitant fait </w:t>
      </w:r>
      <w:r>
        <w:t xml:space="preserve">cependant </w:t>
      </w:r>
      <w:r w:rsidRPr="009F0CD4">
        <w:t xml:space="preserve">état de </w:t>
      </w:r>
      <w:r w:rsidRPr="00ED343B">
        <w:rPr>
          <w:b/>
        </w:rPr>
        <w:t>758</w:t>
      </w:r>
      <w:r>
        <w:rPr>
          <w:b/>
        </w:rPr>
        <w:t xml:space="preserve"> </w:t>
      </w:r>
      <w:r w:rsidRPr="00ED343B">
        <w:rPr>
          <w:b/>
        </w:rPr>
        <w:t>branchements en plomb</w:t>
      </w:r>
      <w:r w:rsidRPr="009F0CD4">
        <w:t xml:space="preserve"> résiduels </w:t>
      </w:r>
      <w:r>
        <w:t xml:space="preserve">à fin 2012, </w:t>
      </w:r>
      <w:r>
        <w:br/>
        <w:t>soit 30 % du parc actuel, à l’issue d’un diagnostic mené fin 2011/début 2012.</w:t>
      </w:r>
    </w:p>
    <w:p w:rsidR="00D4483D" w:rsidRPr="006965A8" w:rsidRDefault="00D4483D" w:rsidP="00F737B7">
      <w:pPr>
        <w:jc w:val="both"/>
      </w:pPr>
    </w:p>
    <w:p w:rsidR="00D4483D" w:rsidRDefault="00D4483D" w:rsidP="00F737B7">
      <w:pPr>
        <w:jc w:val="both"/>
      </w:pPr>
      <w:r w:rsidRPr="006965A8">
        <w:t>Un programme de réhabilitation devra être établi par la Collectivité qui dispose de la faculté de confier au futur exploitant, le cas échéant, tout ou partie de ces travaux.</w:t>
      </w:r>
    </w:p>
    <w:p w:rsidR="00D4483D" w:rsidRDefault="00D4483D" w:rsidP="00F737B7">
      <w:pPr>
        <w:jc w:val="both"/>
      </w:pPr>
    </w:p>
    <w:p w:rsidR="00D4483D" w:rsidRPr="009F0CD4" w:rsidRDefault="00D4483D" w:rsidP="00F737B7">
      <w:pPr>
        <w:jc w:val="both"/>
      </w:pPr>
    </w:p>
    <w:p w:rsidR="00D4483D" w:rsidRPr="00FB5640" w:rsidRDefault="00D4483D" w:rsidP="00F434FA">
      <w:pPr>
        <w:pStyle w:val="ListParagraph"/>
        <w:numPr>
          <w:ilvl w:val="0"/>
          <w:numId w:val="24"/>
        </w:numPr>
        <w:jc w:val="both"/>
        <w:rPr>
          <w:b/>
          <w:u w:val="single"/>
        </w:rPr>
      </w:pPr>
      <w:r w:rsidRPr="00FB5640">
        <w:rPr>
          <w:b/>
          <w:u w:val="single"/>
        </w:rPr>
        <w:t>Etat des réseaux</w:t>
      </w:r>
      <w:r>
        <w:rPr>
          <w:b/>
          <w:u w:val="single"/>
        </w:rPr>
        <w:t xml:space="preserve"> et renouvellement</w:t>
      </w:r>
    </w:p>
    <w:p w:rsidR="00D4483D" w:rsidRPr="00FB5640" w:rsidRDefault="00D4483D" w:rsidP="002E6768">
      <w:pPr>
        <w:jc w:val="both"/>
      </w:pPr>
    </w:p>
    <w:p w:rsidR="00D4483D" w:rsidRDefault="00D4483D" w:rsidP="002E6768">
      <w:pPr>
        <w:jc w:val="both"/>
      </w:pPr>
      <w:r w:rsidRPr="00C203B7">
        <w:t xml:space="preserve">La répartition des réseaux par diamètre </w:t>
      </w:r>
      <w:r>
        <w:t xml:space="preserve">et matériau </w:t>
      </w:r>
      <w:r w:rsidRPr="00C203B7">
        <w:t>est la suivante :</w:t>
      </w:r>
    </w:p>
    <w:p w:rsidR="00D4483D" w:rsidRDefault="00D4483D" w:rsidP="002E6768">
      <w:pPr>
        <w:jc w:val="both"/>
      </w:pPr>
    </w:p>
    <w:p w:rsidR="00D4483D" w:rsidRDefault="00D4483D" w:rsidP="002E6768">
      <w:pPr>
        <w:jc w:val="both"/>
      </w:pPr>
      <w:r w:rsidRPr="00592B84">
        <w:rPr>
          <w:noProof/>
        </w:rPr>
        <w:pict>
          <v:shape id="_x0000_i1032" type="#_x0000_t75" style="width:448.5pt;height:253.5pt;visibility:visible">
            <v:imagedata r:id="rId19" o:title=""/>
          </v:shape>
        </w:pict>
      </w:r>
    </w:p>
    <w:p w:rsidR="00D4483D" w:rsidRPr="00944D2A" w:rsidRDefault="00D4483D" w:rsidP="002E6768">
      <w:pPr>
        <w:jc w:val="both"/>
      </w:pPr>
    </w:p>
    <w:p w:rsidR="00D4483D" w:rsidRPr="00462E72" w:rsidRDefault="00D4483D" w:rsidP="00462E72">
      <w:pPr>
        <w:tabs>
          <w:tab w:val="left" w:pos="1467"/>
        </w:tabs>
        <w:spacing w:after="200" w:line="276" w:lineRule="auto"/>
        <w:jc w:val="both"/>
      </w:pPr>
      <w:r w:rsidRPr="00462E72">
        <w:t>Les réseaux sont très majoritairement en fonte (72 %). Les opérations de recherche de fuites peuvent être facilitées par la bonne conductivité sonore de ce matériau. Toutefois, il n’est pas indiqué la nature de la fonte ; il est noté que la fonte grise est le matériau réputé le plus fragile pour les canalisations.</w:t>
      </w:r>
    </w:p>
    <w:p w:rsidR="00D4483D" w:rsidRPr="00ED343B" w:rsidRDefault="00D4483D" w:rsidP="002E6768">
      <w:pPr>
        <w:jc w:val="both"/>
        <w:rPr>
          <w:highlight w:val="yellow"/>
        </w:rPr>
      </w:pPr>
    </w:p>
    <w:p w:rsidR="00D4483D" w:rsidRPr="00C32A76" w:rsidRDefault="00D4483D" w:rsidP="00944D2A">
      <w:pPr>
        <w:jc w:val="both"/>
      </w:pPr>
      <w:r w:rsidRPr="00C32A76">
        <w:t>Les données concernant l’âge des réseaux ont été recensées par le Délégataire dans le cadre d’une étude du patrimoine de la Collectivité. La répartition des réseaux par tranche d’âge est la suivante :</w:t>
      </w:r>
    </w:p>
    <w:p w:rsidR="00D4483D" w:rsidRPr="00ED343B" w:rsidRDefault="00D4483D" w:rsidP="00896A4C">
      <w:pPr>
        <w:jc w:val="center"/>
        <w:rPr>
          <w:highlight w:val="yellow"/>
        </w:rPr>
      </w:pPr>
      <w:r w:rsidRPr="00592B84">
        <w:rPr>
          <w:noProof/>
        </w:rPr>
        <w:pict>
          <v:shape id="_x0000_i1033" type="#_x0000_t75" style="width:347.25pt;height:179.25pt;visibility:visible">
            <v:imagedata r:id="rId20" o:title=""/>
          </v:shape>
        </w:pict>
      </w:r>
    </w:p>
    <w:p w:rsidR="00D4483D" w:rsidRPr="00C32A76" w:rsidRDefault="00D4483D" w:rsidP="00944D2A">
      <w:pPr>
        <w:jc w:val="both"/>
      </w:pPr>
    </w:p>
    <w:p w:rsidR="00D4483D" w:rsidRPr="00C32A76" w:rsidRDefault="00D4483D" w:rsidP="00944D2A">
      <w:pPr>
        <w:jc w:val="both"/>
      </w:pPr>
      <w:r w:rsidRPr="00C32A76">
        <w:t>Il est ainsi constaté qu’environ un tiers des canalisations date de la pose des premiers réseaux</w:t>
      </w:r>
      <w:r>
        <w:t>,</w:t>
      </w:r>
      <w:r w:rsidRPr="00C32A76">
        <w:t xml:space="preserve"> en 1937</w:t>
      </w:r>
      <w:r>
        <w:t>,</w:t>
      </w:r>
      <w:r w:rsidRPr="00C32A76">
        <w:t xml:space="preserve"> et sont majoritairement en fonte. </w:t>
      </w:r>
    </w:p>
    <w:p w:rsidR="00D4483D" w:rsidRPr="00ED343B" w:rsidRDefault="00D4483D" w:rsidP="00944D2A">
      <w:pPr>
        <w:jc w:val="both"/>
        <w:rPr>
          <w:highlight w:val="yellow"/>
        </w:rPr>
      </w:pPr>
    </w:p>
    <w:p w:rsidR="00D4483D" w:rsidRPr="00B36188" w:rsidRDefault="00D4483D" w:rsidP="00A7559F">
      <w:pPr>
        <w:jc w:val="both"/>
      </w:pPr>
      <w:r w:rsidRPr="00B36188">
        <w:t>En relation avec un niveau de rendement largement perfectible, un renouvellement régulier sur les réseaux les plus anciens peut paraître justifié afin d’anticiper le vieillissement des réseaux, potentiellement générateur de fuites.</w:t>
      </w:r>
    </w:p>
    <w:p w:rsidR="00D4483D" w:rsidRPr="00B36188" w:rsidRDefault="00D4483D" w:rsidP="00A7559F">
      <w:pPr>
        <w:jc w:val="both"/>
      </w:pPr>
      <w:r w:rsidRPr="00B36188">
        <w:t>Pour mettre en œuvre une politique de renouvellement, la Collectivité pourrait dès lors se doter, en collaboration avec l’exploitant ou en démarche indépendante, d’un outil d’aide à la programmation des travaux de renouvellement etéventuellement d’une modélisation hydraulique pour parfaire la connaissance des réseaux. Un recensement précis des données patrimoniales demeure</w:t>
      </w:r>
      <w:r>
        <w:t>,</w:t>
      </w:r>
      <w:r w:rsidRPr="00B36188">
        <w:t xml:space="preserve"> en toute hypothèse</w:t>
      </w:r>
      <w:r>
        <w:t>,</w:t>
      </w:r>
      <w:r w:rsidRPr="00B36188">
        <w:t xml:space="preserve"> impératif.</w:t>
      </w:r>
    </w:p>
    <w:p w:rsidR="00D4483D" w:rsidRPr="00B36188" w:rsidRDefault="00D4483D" w:rsidP="00A7559F">
      <w:pPr>
        <w:jc w:val="both"/>
      </w:pPr>
      <w:r w:rsidRPr="00B36188">
        <w:t>D’ores et déjà, on peut considérer que le taux de renouvellement actuel, compte tenu de l’âge et des matériaux des réseaux, est insuffisant eu égard aux pratiques usuelles et au niveau du rendement.</w:t>
      </w:r>
    </w:p>
    <w:p w:rsidR="00D4483D" w:rsidRPr="00ED343B" w:rsidRDefault="00D4483D" w:rsidP="0028541E">
      <w:pPr>
        <w:rPr>
          <w:rFonts w:cs="Calibri"/>
          <w:highlight w:val="yellow"/>
        </w:rPr>
      </w:pPr>
    </w:p>
    <w:p w:rsidR="00D4483D" w:rsidRPr="00263B41" w:rsidRDefault="00D4483D" w:rsidP="00A06DB1">
      <w:pPr>
        <w:jc w:val="both"/>
        <w:rPr>
          <w:rFonts w:cs="Calibri"/>
        </w:rPr>
      </w:pPr>
      <w:r w:rsidRPr="00263B41">
        <w:rPr>
          <w:rFonts w:cs="Calibri"/>
        </w:rPr>
        <w:t>A noter qu’afin d’inciter les services à avoir une meilleure connaissance de leurs réseaux d’eau potable, qu’il s’agisse de l’état de ces réseaux, de l’année de pose ou de la nature des matériaux des canalisations, la loi n°2010-788 du 12 juillet 2010</w:t>
      </w:r>
      <w:r w:rsidRPr="00263B41">
        <w:rPr>
          <w:rStyle w:val="FootnoteReference"/>
          <w:rFonts w:cs="Calibri"/>
        </w:rPr>
        <w:footnoteReference w:id="1"/>
      </w:r>
      <w:r w:rsidRPr="00263B41">
        <w:rPr>
          <w:rFonts w:cs="Calibri"/>
        </w:rPr>
        <w:t xml:space="preserve"> complétée par le décret 2012-97 du 27 janvier 2012 impose aux collectivités gestionnaires des services d’eau potable de réaliser, avant le 31 décembre 2013, un descriptif détaillé des ouvrages de transport et de distribution d’eau potable. </w:t>
      </w:r>
    </w:p>
    <w:p w:rsidR="00D4483D" w:rsidRPr="00263B41" w:rsidRDefault="00D4483D" w:rsidP="00A06DB1">
      <w:pPr>
        <w:jc w:val="both"/>
      </w:pPr>
    </w:p>
    <w:p w:rsidR="00D4483D" w:rsidRPr="00263B41" w:rsidRDefault="00D4483D" w:rsidP="00A06DB1">
      <w:pPr>
        <w:jc w:val="both"/>
        <w:rPr>
          <w:rFonts w:cs="Calibri"/>
        </w:rPr>
      </w:pPr>
      <w:r w:rsidRPr="00263B41">
        <w:rPr>
          <w:rFonts w:cs="Calibri"/>
        </w:rPr>
        <w:t xml:space="preserve">Ce descriptif détaillé doit contenir, selon les termes du décret précité : </w:t>
      </w:r>
    </w:p>
    <w:p w:rsidR="00D4483D" w:rsidRPr="00263B41" w:rsidRDefault="00D4483D" w:rsidP="00A06DB1">
      <w:pPr>
        <w:jc w:val="both"/>
        <w:rPr>
          <w:rFonts w:cs="Calibri"/>
        </w:rPr>
      </w:pPr>
    </w:p>
    <w:p w:rsidR="00D4483D" w:rsidRPr="00263B41" w:rsidRDefault="00D4483D" w:rsidP="00A06DB1">
      <w:pPr>
        <w:pStyle w:val="ListParagraph"/>
        <w:numPr>
          <w:ilvl w:val="0"/>
          <w:numId w:val="26"/>
        </w:numPr>
        <w:autoSpaceDE w:val="0"/>
        <w:autoSpaceDN w:val="0"/>
        <w:adjustRightInd w:val="0"/>
        <w:jc w:val="both"/>
        <w:rPr>
          <w:rFonts w:cs="Calibri"/>
        </w:rPr>
      </w:pPr>
      <w:r w:rsidRPr="00263B41">
        <w:rPr>
          <w:rFonts w:cs="Calibri"/>
        </w:rPr>
        <w:t>le plan des réseaux mentionnant la localisation des dispositifs généraux de mesure ;</w:t>
      </w:r>
    </w:p>
    <w:p w:rsidR="00D4483D" w:rsidRPr="00263B41" w:rsidRDefault="00D4483D" w:rsidP="00A06DB1">
      <w:pPr>
        <w:pStyle w:val="ListParagraph"/>
        <w:autoSpaceDE w:val="0"/>
        <w:autoSpaceDN w:val="0"/>
        <w:adjustRightInd w:val="0"/>
        <w:jc w:val="both"/>
        <w:rPr>
          <w:rFonts w:cs="Calibri"/>
        </w:rPr>
      </w:pPr>
    </w:p>
    <w:p w:rsidR="00D4483D" w:rsidRPr="00263B41" w:rsidRDefault="00D4483D" w:rsidP="00A06DB1">
      <w:pPr>
        <w:pStyle w:val="ListParagraph"/>
        <w:numPr>
          <w:ilvl w:val="0"/>
          <w:numId w:val="26"/>
        </w:numPr>
        <w:autoSpaceDE w:val="0"/>
        <w:autoSpaceDN w:val="0"/>
        <w:adjustRightInd w:val="0"/>
        <w:jc w:val="both"/>
        <w:rPr>
          <w:rFonts w:cs="Calibri"/>
        </w:rPr>
      </w:pPr>
      <w:r w:rsidRPr="00263B41">
        <w:rPr>
          <w:rFonts w:cs="Calibri"/>
        </w:rPr>
        <w:t>un inventaire des réseaux comprenant la mention des linéaires de canalisations, celle de l'année de pose ou à défaut sa période ;</w:t>
      </w:r>
    </w:p>
    <w:p w:rsidR="00D4483D" w:rsidRPr="00263B41" w:rsidRDefault="00D4483D" w:rsidP="00A06DB1">
      <w:pPr>
        <w:pStyle w:val="ListParagraph"/>
        <w:autoSpaceDE w:val="0"/>
        <w:autoSpaceDN w:val="0"/>
        <w:adjustRightInd w:val="0"/>
        <w:jc w:val="both"/>
        <w:rPr>
          <w:rFonts w:cs="Calibri"/>
        </w:rPr>
      </w:pPr>
    </w:p>
    <w:p w:rsidR="00D4483D" w:rsidRPr="00263B41" w:rsidRDefault="00D4483D" w:rsidP="00A06DB1">
      <w:pPr>
        <w:pStyle w:val="ListParagraph"/>
        <w:numPr>
          <w:ilvl w:val="0"/>
          <w:numId w:val="26"/>
        </w:numPr>
        <w:autoSpaceDE w:val="0"/>
        <w:autoSpaceDN w:val="0"/>
        <w:adjustRightInd w:val="0"/>
        <w:jc w:val="both"/>
        <w:rPr>
          <w:rFonts w:cs="Calibri"/>
        </w:rPr>
      </w:pPr>
      <w:r w:rsidRPr="00263B41">
        <w:rPr>
          <w:rFonts w:cs="Calibri"/>
        </w:rPr>
        <w:t>la catégorie de l'ouvrage, la précision des informations cartographiques, les matériaux utilisés et les diamètres des canalisations.</w:t>
      </w:r>
    </w:p>
    <w:p w:rsidR="00D4483D" w:rsidRPr="00263B41" w:rsidRDefault="00D4483D" w:rsidP="00A06DB1">
      <w:pPr>
        <w:pStyle w:val="ListParagraph"/>
        <w:jc w:val="both"/>
        <w:rPr>
          <w:rFonts w:cs="Calibri"/>
        </w:rPr>
      </w:pPr>
    </w:p>
    <w:p w:rsidR="00D4483D" w:rsidRDefault="00D4483D" w:rsidP="00A06DB1">
      <w:pPr>
        <w:jc w:val="both"/>
        <w:rPr>
          <w:rFonts w:cs="Calibri"/>
        </w:rPr>
      </w:pPr>
      <w:r w:rsidRPr="00263B41">
        <w:rPr>
          <w:rFonts w:cs="Calibri"/>
        </w:rPr>
        <w:t>Ce descriptif doit faire l’objet d’une actualisation annuelle afin notamment, de faire état des secteurs ayant fait l'objet de recherches de pertes d'eau et des travaux réalisés.</w:t>
      </w:r>
    </w:p>
    <w:p w:rsidR="00D4483D" w:rsidRDefault="00D4483D">
      <w:pPr>
        <w:jc w:val="both"/>
        <w:rPr>
          <w:b/>
          <w:u w:val="single"/>
        </w:rPr>
      </w:pPr>
    </w:p>
    <w:p w:rsidR="00D4483D" w:rsidRDefault="00D4483D">
      <w:pPr>
        <w:jc w:val="both"/>
        <w:rPr>
          <w:b/>
          <w:u w:val="single"/>
        </w:rPr>
      </w:pPr>
    </w:p>
    <w:p w:rsidR="00D4483D" w:rsidRPr="002E6768" w:rsidRDefault="00D4483D" w:rsidP="00F434FA">
      <w:pPr>
        <w:pStyle w:val="ListParagraph"/>
        <w:numPr>
          <w:ilvl w:val="0"/>
          <w:numId w:val="24"/>
        </w:numPr>
        <w:jc w:val="both"/>
        <w:rPr>
          <w:b/>
          <w:u w:val="single"/>
        </w:rPr>
      </w:pPr>
      <w:r w:rsidRPr="002E6768">
        <w:rPr>
          <w:b/>
          <w:u w:val="single"/>
        </w:rPr>
        <w:t>Parc compteurs</w:t>
      </w:r>
    </w:p>
    <w:p w:rsidR="00D4483D" w:rsidRPr="004D79B2" w:rsidRDefault="00D4483D" w:rsidP="00946EB4">
      <w:pPr>
        <w:jc w:val="both"/>
      </w:pPr>
    </w:p>
    <w:p w:rsidR="00D4483D" w:rsidRDefault="00D4483D" w:rsidP="00946EB4">
      <w:pPr>
        <w:jc w:val="both"/>
      </w:pPr>
      <w:r w:rsidRPr="00DE2E08">
        <w:t>Les compteurs sont propriétés du Délégataire.</w:t>
      </w:r>
    </w:p>
    <w:p w:rsidR="00D4483D" w:rsidRDefault="00D4483D" w:rsidP="00946EB4">
      <w:pPr>
        <w:jc w:val="both"/>
      </w:pPr>
    </w:p>
    <w:p w:rsidR="00D4483D" w:rsidRDefault="00D4483D" w:rsidP="00946EB4">
      <w:pPr>
        <w:jc w:val="both"/>
      </w:pPr>
      <w:r w:rsidRPr="00BD1C74">
        <w:t xml:space="preserve">Le </w:t>
      </w:r>
      <w:r>
        <w:t xml:space="preserve">graphe </w:t>
      </w:r>
      <w:r w:rsidRPr="00BD1C74">
        <w:t>ci-après présente un état de l’âge du parc compteurs</w:t>
      </w:r>
      <w:r w:rsidRPr="004D79B2">
        <w:t> :</w:t>
      </w:r>
    </w:p>
    <w:p w:rsidR="00D4483D" w:rsidRDefault="00D4483D" w:rsidP="00946EB4">
      <w:pPr>
        <w:jc w:val="both"/>
      </w:pPr>
    </w:p>
    <w:p w:rsidR="00D4483D" w:rsidRDefault="00D4483D" w:rsidP="00F26862">
      <w:pPr>
        <w:jc w:val="center"/>
      </w:pPr>
      <w:r w:rsidRPr="00592B84">
        <w:rPr>
          <w:noProof/>
        </w:rPr>
        <w:pict>
          <v:shape id="_x0000_i1034" type="#_x0000_t75" style="width:361.5pt;height:218.25pt;visibility:visible">
            <v:imagedata r:id="rId21" o:title=""/>
          </v:shape>
        </w:pict>
      </w:r>
    </w:p>
    <w:p w:rsidR="00D4483D" w:rsidRDefault="00D4483D" w:rsidP="00946EB4">
      <w:pPr>
        <w:jc w:val="both"/>
      </w:pPr>
    </w:p>
    <w:p w:rsidR="00D4483D" w:rsidRDefault="00D4483D" w:rsidP="0095196C">
      <w:pPr>
        <w:pStyle w:val="Datelettre"/>
        <w:spacing w:after="0"/>
        <w:ind w:left="0" w:right="3"/>
        <w:jc w:val="both"/>
        <w:rPr>
          <w:sz w:val="24"/>
          <w:szCs w:val="24"/>
          <w:lang w:val="fr-FR"/>
        </w:rPr>
      </w:pPr>
      <w:r w:rsidRPr="00F26862">
        <w:rPr>
          <w:sz w:val="24"/>
          <w:szCs w:val="24"/>
          <w:lang w:val="fr-FR"/>
        </w:rPr>
        <w:t xml:space="preserve">Le parc compteurs est relativement </w:t>
      </w:r>
      <w:r>
        <w:rPr>
          <w:sz w:val="24"/>
          <w:szCs w:val="24"/>
          <w:lang w:val="fr-FR"/>
        </w:rPr>
        <w:t xml:space="preserve">ancien </w:t>
      </w:r>
      <w:r w:rsidRPr="00F26862">
        <w:rPr>
          <w:sz w:val="24"/>
          <w:szCs w:val="24"/>
          <w:lang w:val="fr-FR"/>
        </w:rPr>
        <w:t>(20 % des compteurs ont plus de 15 ans).</w:t>
      </w:r>
    </w:p>
    <w:p w:rsidR="00D4483D" w:rsidRDefault="00D4483D" w:rsidP="000775E3">
      <w:pPr>
        <w:pStyle w:val="Datelettre"/>
        <w:spacing w:after="0"/>
        <w:ind w:left="0" w:right="3"/>
        <w:jc w:val="both"/>
        <w:rPr>
          <w:sz w:val="24"/>
          <w:szCs w:val="24"/>
          <w:lang w:val="fr-FR"/>
        </w:rPr>
      </w:pPr>
    </w:p>
    <w:p w:rsidR="00D4483D" w:rsidRPr="00054197" w:rsidRDefault="00D4483D" w:rsidP="000775E3">
      <w:pPr>
        <w:pStyle w:val="Datelettre"/>
        <w:spacing w:after="0"/>
        <w:ind w:left="0" w:right="3"/>
        <w:jc w:val="both"/>
        <w:rPr>
          <w:bCs/>
          <w:sz w:val="24"/>
          <w:lang w:val="fr-FR"/>
        </w:rPr>
      </w:pPr>
      <w:r w:rsidRPr="00054197">
        <w:rPr>
          <w:sz w:val="24"/>
          <w:szCs w:val="24"/>
          <w:lang w:val="fr-FR"/>
        </w:rPr>
        <w:t>Il est noté que la réglementation</w:t>
      </w:r>
      <w:r w:rsidRPr="00054197">
        <w:rPr>
          <w:rStyle w:val="FootnoteReference"/>
          <w:sz w:val="24"/>
          <w:szCs w:val="24"/>
          <w:lang w:val="fr-FR"/>
        </w:rPr>
        <w:footnoteReference w:id="2"/>
      </w:r>
      <w:r w:rsidRPr="00054197">
        <w:rPr>
          <w:sz w:val="24"/>
          <w:szCs w:val="24"/>
          <w:lang w:val="fr-FR"/>
        </w:rPr>
        <w:t xml:space="preserve"> définit un âge maximal des compteurs de 15 ans, sauf si l’exploitant procède</w:t>
      </w:r>
      <w:r w:rsidRPr="00054197">
        <w:rPr>
          <w:bCs/>
          <w:sz w:val="24"/>
          <w:lang w:val="fr-FR"/>
        </w:rPr>
        <w:t xml:space="preserve"> à une vérification du parc compteurs par échantillonnage conformément à la réglementation, ce qui est le cas pour le Délégataire.</w:t>
      </w:r>
    </w:p>
    <w:p w:rsidR="00D4483D" w:rsidRDefault="00D4483D" w:rsidP="000775E3">
      <w:pPr>
        <w:pStyle w:val="Datelettre"/>
        <w:spacing w:after="0"/>
        <w:ind w:left="0" w:right="3"/>
        <w:jc w:val="both"/>
        <w:rPr>
          <w:bCs/>
          <w:sz w:val="24"/>
          <w:lang w:val="fr-FR"/>
        </w:rPr>
      </w:pPr>
      <w:r w:rsidRPr="00054197">
        <w:rPr>
          <w:bCs/>
          <w:sz w:val="24"/>
          <w:lang w:val="fr-FR"/>
        </w:rPr>
        <w:t>En complément des considérations réglementaires, on note également que les compteurs âgés ont tendance à sous-compter les volumes consommés, ce qui peut engendrer un impact direct sur le rendement et les recettes du service.</w:t>
      </w:r>
    </w:p>
    <w:p w:rsidR="00D4483D" w:rsidRDefault="00D4483D" w:rsidP="000775E3">
      <w:pPr>
        <w:pStyle w:val="Datelettre"/>
        <w:spacing w:after="0"/>
        <w:ind w:left="0" w:right="3"/>
        <w:jc w:val="both"/>
        <w:rPr>
          <w:bCs/>
          <w:sz w:val="24"/>
          <w:lang w:val="fr-FR"/>
        </w:rPr>
      </w:pPr>
    </w:p>
    <w:p w:rsidR="00D4483D" w:rsidRDefault="00D4483D" w:rsidP="000775E3">
      <w:pPr>
        <w:pStyle w:val="Datelettre"/>
        <w:spacing w:after="0"/>
        <w:ind w:left="0" w:right="3"/>
        <w:jc w:val="both"/>
        <w:rPr>
          <w:bCs/>
          <w:sz w:val="24"/>
          <w:lang w:val="fr-FR"/>
        </w:rPr>
      </w:pPr>
    </w:p>
    <w:p w:rsidR="00D4483D" w:rsidRDefault="00D4483D" w:rsidP="000775E3">
      <w:pPr>
        <w:pStyle w:val="Datelettre"/>
        <w:spacing w:after="0"/>
        <w:ind w:left="0" w:right="3"/>
        <w:jc w:val="both"/>
        <w:rPr>
          <w:bCs/>
          <w:sz w:val="24"/>
          <w:lang w:val="fr-FR"/>
        </w:rPr>
      </w:pPr>
    </w:p>
    <w:p w:rsidR="00D4483D" w:rsidRPr="001409A4" w:rsidRDefault="00D4483D">
      <w:pPr>
        <w:spacing w:after="200" w:line="276" w:lineRule="auto"/>
        <w:rPr>
          <w:b/>
          <w:sz w:val="28"/>
          <w:szCs w:val="28"/>
          <w:u w:val="single"/>
        </w:rPr>
      </w:pPr>
      <w:r>
        <w:br w:type="page"/>
      </w:r>
    </w:p>
    <w:p w:rsidR="00D4483D" w:rsidRPr="002E6768" w:rsidRDefault="00D4483D" w:rsidP="002E6768">
      <w:pPr>
        <w:pStyle w:val="Heading1"/>
        <w:numPr>
          <w:ilvl w:val="0"/>
          <w:numId w:val="6"/>
        </w:numPr>
      </w:pPr>
      <w:bookmarkStart w:id="11" w:name="_Toc367105217"/>
      <w:r w:rsidRPr="002E6768">
        <w:t>Aspects relatifs à la gestion clientèle</w:t>
      </w:r>
      <w:bookmarkEnd w:id="11"/>
    </w:p>
    <w:p w:rsidR="00D4483D" w:rsidRPr="004D79B2" w:rsidRDefault="00D4483D" w:rsidP="00946EB4"/>
    <w:p w:rsidR="00D4483D" w:rsidRPr="003837F6" w:rsidRDefault="00D4483D" w:rsidP="00D42A44">
      <w:pPr>
        <w:pStyle w:val="Heading2"/>
        <w:numPr>
          <w:ilvl w:val="1"/>
          <w:numId w:val="6"/>
        </w:numPr>
        <w:tabs>
          <w:tab w:val="clear" w:pos="851"/>
          <w:tab w:val="num" w:pos="993"/>
        </w:tabs>
      </w:pPr>
      <w:bookmarkStart w:id="12" w:name="_Toc367105218"/>
      <w:r w:rsidRPr="003837F6">
        <w:t>Relève des compteurs et périodes de facturation</w:t>
      </w:r>
      <w:bookmarkEnd w:id="12"/>
    </w:p>
    <w:p w:rsidR="00D4483D" w:rsidRPr="003837F6" w:rsidRDefault="00D4483D" w:rsidP="00946EB4">
      <w:pPr>
        <w:pStyle w:val="Datelettre"/>
        <w:spacing w:after="0"/>
        <w:ind w:left="0" w:right="3"/>
        <w:jc w:val="both"/>
        <w:rPr>
          <w:noProof w:val="0"/>
          <w:sz w:val="24"/>
          <w:lang w:val="fr-FR"/>
        </w:rPr>
      </w:pPr>
    </w:p>
    <w:p w:rsidR="00D4483D" w:rsidRPr="000775E3" w:rsidRDefault="00D4483D" w:rsidP="00946EB4">
      <w:pPr>
        <w:pStyle w:val="Datelettre"/>
        <w:spacing w:after="0"/>
        <w:ind w:left="0" w:right="3"/>
        <w:jc w:val="both"/>
        <w:rPr>
          <w:noProof w:val="0"/>
          <w:sz w:val="24"/>
          <w:lang w:val="fr-FR"/>
        </w:rPr>
      </w:pPr>
      <w:r w:rsidRPr="00054197">
        <w:rPr>
          <w:noProof w:val="0"/>
          <w:sz w:val="24"/>
          <w:lang w:val="fr-FR"/>
        </w:rPr>
        <w:t>La relève des compteurs s’effectue une fois par an en août et septembre. La facturation est semestrielle.</w:t>
      </w:r>
    </w:p>
    <w:p w:rsidR="00D4483D" w:rsidRPr="000775E3" w:rsidRDefault="00D4483D" w:rsidP="003837F6">
      <w:pPr>
        <w:jc w:val="both"/>
      </w:pPr>
    </w:p>
    <w:p w:rsidR="00D4483D" w:rsidRDefault="00D4483D" w:rsidP="00946EB4">
      <w:pPr>
        <w:pStyle w:val="Datelettre"/>
        <w:spacing w:after="0"/>
        <w:ind w:left="0" w:right="3"/>
        <w:jc w:val="both"/>
        <w:rPr>
          <w:noProof w:val="0"/>
          <w:sz w:val="24"/>
          <w:lang w:val="fr-FR"/>
        </w:rPr>
      </w:pPr>
      <w:r w:rsidRPr="000775E3">
        <w:rPr>
          <w:noProof w:val="0"/>
          <w:sz w:val="24"/>
          <w:lang w:val="fr-FR"/>
        </w:rPr>
        <w:t>Les possibilités techniques récentes permettent d’organiser la relève des compteurs au moyen de la télérelève, consistant à un relevé du compteur à distance</w:t>
      </w:r>
      <w:r>
        <w:rPr>
          <w:noProof w:val="0"/>
          <w:sz w:val="24"/>
          <w:lang w:val="fr-FR"/>
        </w:rPr>
        <w:t> :</w:t>
      </w:r>
    </w:p>
    <w:p w:rsidR="00D4483D" w:rsidRDefault="00D4483D" w:rsidP="00946EB4">
      <w:pPr>
        <w:pStyle w:val="Datelettre"/>
        <w:spacing w:after="0"/>
        <w:ind w:left="0" w:right="3"/>
        <w:jc w:val="both"/>
        <w:rPr>
          <w:noProof w:val="0"/>
          <w:sz w:val="24"/>
          <w:lang w:val="fr-FR"/>
        </w:rPr>
      </w:pPr>
    </w:p>
    <w:p w:rsidR="00D4483D" w:rsidRDefault="00D4483D" w:rsidP="00E2082A">
      <w:pPr>
        <w:pStyle w:val="Datelettre"/>
        <w:numPr>
          <w:ilvl w:val="0"/>
          <w:numId w:val="24"/>
        </w:numPr>
        <w:spacing w:after="0"/>
        <w:ind w:right="3"/>
        <w:jc w:val="both"/>
        <w:rPr>
          <w:noProof w:val="0"/>
          <w:sz w:val="24"/>
          <w:lang w:val="fr-FR"/>
        </w:rPr>
      </w:pPr>
      <w:r w:rsidRPr="000775E3">
        <w:rPr>
          <w:noProof w:val="0"/>
          <w:sz w:val="24"/>
          <w:lang w:val="fr-FR"/>
        </w:rPr>
        <w:t xml:space="preserve">soit par passage d’un agent dans les environs du compteur, </w:t>
      </w:r>
    </w:p>
    <w:p w:rsidR="00D4483D" w:rsidRDefault="00D4483D" w:rsidP="00E2082A">
      <w:pPr>
        <w:pStyle w:val="Datelettre"/>
        <w:numPr>
          <w:ilvl w:val="0"/>
          <w:numId w:val="24"/>
        </w:numPr>
        <w:spacing w:after="0"/>
        <w:ind w:right="3"/>
        <w:jc w:val="both"/>
        <w:rPr>
          <w:noProof w:val="0"/>
          <w:sz w:val="24"/>
          <w:lang w:val="fr-FR"/>
        </w:rPr>
      </w:pPr>
      <w:r w:rsidRPr="000775E3">
        <w:rPr>
          <w:noProof w:val="0"/>
          <w:sz w:val="24"/>
          <w:lang w:val="fr-FR"/>
        </w:rPr>
        <w:t xml:space="preserve">soit par transmission informatisée des index compteurs. </w:t>
      </w:r>
    </w:p>
    <w:p w:rsidR="00D4483D" w:rsidRDefault="00D4483D" w:rsidP="00E2082A">
      <w:pPr>
        <w:pStyle w:val="Datelettre"/>
        <w:spacing w:after="0"/>
        <w:ind w:left="0" w:right="3"/>
        <w:jc w:val="both"/>
        <w:rPr>
          <w:noProof w:val="0"/>
          <w:sz w:val="24"/>
          <w:lang w:val="fr-FR"/>
        </w:rPr>
      </w:pPr>
    </w:p>
    <w:p w:rsidR="00D4483D" w:rsidRPr="000775E3" w:rsidRDefault="00D4483D" w:rsidP="00E2082A">
      <w:pPr>
        <w:pStyle w:val="Datelettre"/>
        <w:spacing w:after="0"/>
        <w:ind w:left="0" w:right="3"/>
        <w:jc w:val="both"/>
        <w:rPr>
          <w:noProof w:val="0"/>
          <w:sz w:val="24"/>
          <w:lang w:val="fr-FR"/>
        </w:rPr>
      </w:pPr>
      <w:r w:rsidRPr="000775E3">
        <w:rPr>
          <w:noProof w:val="0"/>
          <w:sz w:val="24"/>
          <w:lang w:val="fr-FR"/>
        </w:rPr>
        <w:t>Le déploiement de cette technique pour l’ensemble des abonnés d’un service s’est accru depuis 2008-2009, sans être systématique</w:t>
      </w:r>
      <w:r>
        <w:rPr>
          <w:noProof w:val="0"/>
          <w:sz w:val="24"/>
          <w:lang w:val="fr-FR"/>
        </w:rPr>
        <w:t>, en raison de son coût</w:t>
      </w:r>
      <w:r w:rsidRPr="000775E3">
        <w:rPr>
          <w:noProof w:val="0"/>
          <w:sz w:val="24"/>
          <w:lang w:val="fr-FR"/>
        </w:rPr>
        <w:t>.</w:t>
      </w:r>
    </w:p>
    <w:p w:rsidR="00D4483D" w:rsidRPr="000775E3" w:rsidRDefault="00D4483D" w:rsidP="00946EB4">
      <w:pPr>
        <w:pStyle w:val="Datelettre"/>
        <w:spacing w:after="0"/>
        <w:ind w:left="0" w:right="3"/>
        <w:jc w:val="both"/>
        <w:rPr>
          <w:noProof w:val="0"/>
          <w:sz w:val="24"/>
          <w:lang w:val="fr-FR"/>
        </w:rPr>
      </w:pPr>
    </w:p>
    <w:p w:rsidR="00D4483D" w:rsidRPr="000775E3" w:rsidRDefault="00D4483D" w:rsidP="00946EB4">
      <w:pPr>
        <w:pStyle w:val="Datelettre"/>
        <w:spacing w:after="0"/>
        <w:ind w:left="0" w:right="3"/>
        <w:jc w:val="both"/>
        <w:rPr>
          <w:noProof w:val="0"/>
          <w:sz w:val="24"/>
          <w:lang w:val="fr-FR"/>
        </w:rPr>
      </w:pPr>
      <w:r w:rsidRPr="000775E3">
        <w:rPr>
          <w:noProof w:val="0"/>
          <w:sz w:val="24"/>
          <w:lang w:val="fr-FR"/>
        </w:rPr>
        <w:t xml:space="preserve">Une évolution vers une télérelève généralisée nécessite un investissement initial (remplacement obligatoire </w:t>
      </w:r>
      <w:r>
        <w:rPr>
          <w:noProof w:val="0"/>
          <w:sz w:val="24"/>
          <w:lang w:val="fr-FR"/>
        </w:rPr>
        <w:t xml:space="preserve">d’une partie </w:t>
      </w:r>
      <w:r w:rsidRPr="000775E3">
        <w:rPr>
          <w:noProof w:val="0"/>
          <w:sz w:val="24"/>
          <w:lang w:val="fr-FR"/>
        </w:rPr>
        <w:t>du parc compteurs, en complément de l’installation des émetteurs, répéteurs et éventuellement nouveaux concentrateurs). Cette solution passe jusqu’à présent le plus souvent par une majoration des tarifs.</w:t>
      </w:r>
    </w:p>
    <w:p w:rsidR="00D4483D" w:rsidRPr="000775E3" w:rsidRDefault="00D4483D" w:rsidP="00946EB4">
      <w:pPr>
        <w:pStyle w:val="Datelettre"/>
        <w:spacing w:after="0"/>
        <w:ind w:left="0" w:right="3"/>
        <w:jc w:val="both"/>
        <w:rPr>
          <w:noProof w:val="0"/>
          <w:sz w:val="24"/>
          <w:lang w:val="fr-FR"/>
        </w:rPr>
      </w:pPr>
    </w:p>
    <w:p w:rsidR="00D4483D" w:rsidRPr="000775E3" w:rsidRDefault="00D4483D" w:rsidP="00946EB4">
      <w:pPr>
        <w:pStyle w:val="Datelettre"/>
        <w:spacing w:after="0"/>
        <w:ind w:left="0" w:right="3"/>
        <w:jc w:val="both"/>
        <w:rPr>
          <w:noProof w:val="0"/>
          <w:sz w:val="24"/>
          <w:lang w:val="fr-FR"/>
        </w:rPr>
      </w:pPr>
      <w:r w:rsidRPr="000775E3">
        <w:rPr>
          <w:noProof w:val="0"/>
          <w:sz w:val="24"/>
          <w:lang w:val="fr-FR"/>
        </w:rPr>
        <w:t>Les services associés et la tarification sont variables selon les exploitants : consultation ou alerte consommation, dont fuite potentielle, par divers moyens dont internet, boîtier de consultation au sein du domicile, etc., avec ou sans tarif spécifique.</w:t>
      </w:r>
    </w:p>
    <w:p w:rsidR="00D4483D" w:rsidRPr="000775E3" w:rsidRDefault="00D4483D" w:rsidP="00946EB4">
      <w:pPr>
        <w:pStyle w:val="Datelettre"/>
        <w:spacing w:after="0"/>
        <w:ind w:left="0" w:right="3"/>
        <w:jc w:val="both"/>
        <w:rPr>
          <w:noProof w:val="0"/>
          <w:sz w:val="24"/>
          <w:lang w:val="fr-FR"/>
        </w:rPr>
      </w:pPr>
    </w:p>
    <w:p w:rsidR="00D4483D" w:rsidRPr="000775E3" w:rsidRDefault="00D4483D" w:rsidP="000775E3">
      <w:pPr>
        <w:jc w:val="both"/>
        <w:rPr>
          <w:szCs w:val="20"/>
        </w:rPr>
      </w:pPr>
      <w:r w:rsidRPr="000775E3">
        <w:rPr>
          <w:szCs w:val="20"/>
        </w:rPr>
        <w:t>Le choix du déploiement ou non d’un tel dispositif dépend le plus souvent de l’existence et de l’affectation de marges de manœuvre sur le prix : affectation à une amélioration du service aux usagers</w:t>
      </w:r>
      <w:r>
        <w:rPr>
          <w:szCs w:val="20"/>
        </w:rPr>
        <w:t>, à des investissements (travaux de renouvellement des canalisations et branchements, etc.)</w:t>
      </w:r>
      <w:r w:rsidRPr="000775E3">
        <w:rPr>
          <w:szCs w:val="20"/>
        </w:rPr>
        <w:t xml:space="preserve"> ou intégralement au prix.</w:t>
      </w:r>
    </w:p>
    <w:p w:rsidR="00D4483D" w:rsidRDefault="00D4483D">
      <w:pPr>
        <w:spacing w:after="200" w:line="276" w:lineRule="auto"/>
        <w:rPr>
          <w:rFonts w:cs="Arial"/>
          <w:b/>
          <w:bCs/>
          <w:iCs/>
          <w:sz w:val="26"/>
          <w:szCs w:val="26"/>
          <w:u w:val="single"/>
        </w:rPr>
      </w:pPr>
      <w:bookmarkStart w:id="13" w:name="_Toc313541206"/>
      <w:bookmarkEnd w:id="13"/>
    </w:p>
    <w:p w:rsidR="00D4483D" w:rsidRPr="004D79B2" w:rsidRDefault="00D4483D" w:rsidP="00D42A44">
      <w:pPr>
        <w:pStyle w:val="Heading2"/>
        <w:numPr>
          <w:ilvl w:val="1"/>
          <w:numId w:val="6"/>
        </w:numPr>
        <w:tabs>
          <w:tab w:val="clear" w:pos="851"/>
          <w:tab w:val="num" w:pos="993"/>
        </w:tabs>
      </w:pPr>
      <w:bookmarkStart w:id="14" w:name="_Toc367105219"/>
      <w:r w:rsidRPr="00D42A44">
        <w:t>Impayés</w:t>
      </w:r>
      <w:bookmarkEnd w:id="14"/>
    </w:p>
    <w:p w:rsidR="00D4483D" w:rsidRDefault="00D4483D" w:rsidP="00946EB4">
      <w:pPr>
        <w:pStyle w:val="Datelettre"/>
        <w:spacing w:after="0"/>
        <w:ind w:left="0" w:right="3"/>
        <w:jc w:val="both"/>
        <w:rPr>
          <w:noProof w:val="0"/>
          <w:sz w:val="24"/>
          <w:lang w:val="fr-FR"/>
        </w:rPr>
      </w:pPr>
    </w:p>
    <w:p w:rsidR="00D4483D" w:rsidRPr="00054197" w:rsidRDefault="00D4483D" w:rsidP="00946EB4">
      <w:pPr>
        <w:pStyle w:val="Datelettre"/>
        <w:spacing w:after="0"/>
        <w:ind w:left="0" w:right="3"/>
        <w:jc w:val="both"/>
        <w:rPr>
          <w:noProof w:val="0"/>
          <w:sz w:val="24"/>
          <w:lang w:val="fr-FR"/>
        </w:rPr>
      </w:pPr>
      <w:r w:rsidRPr="00054197">
        <w:rPr>
          <w:noProof w:val="0"/>
          <w:sz w:val="24"/>
          <w:lang w:val="fr-FR"/>
        </w:rPr>
        <w:t>Les impayés à plus d’un an au 31/12/2012sont les suivants :</w:t>
      </w:r>
    </w:p>
    <w:p w:rsidR="00D4483D" w:rsidRPr="00054197" w:rsidRDefault="00D4483D" w:rsidP="00946EB4">
      <w:pPr>
        <w:pStyle w:val="Datelettre"/>
        <w:spacing w:after="0"/>
        <w:ind w:left="0" w:right="3"/>
        <w:jc w:val="both"/>
        <w:rPr>
          <w:noProof w:val="0"/>
          <w:sz w:val="24"/>
          <w:lang w:val="fr-FR"/>
        </w:rPr>
      </w:pPr>
    </w:p>
    <w:tbl>
      <w:tblPr>
        <w:tblW w:w="4126"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200"/>
        <w:gridCol w:w="1200"/>
        <w:gridCol w:w="1726"/>
      </w:tblGrid>
      <w:tr w:rsidR="00D4483D" w:rsidRPr="00054197" w:rsidTr="00D32784">
        <w:trPr>
          <w:trHeight w:val="540"/>
          <w:jc w:val="center"/>
        </w:trPr>
        <w:tc>
          <w:tcPr>
            <w:tcW w:w="1200" w:type="dxa"/>
            <w:shd w:val="clear" w:color="auto" w:fill="D9D9D9"/>
            <w:vAlign w:val="center"/>
          </w:tcPr>
          <w:p w:rsidR="00D4483D" w:rsidRPr="00054197" w:rsidRDefault="00D4483D" w:rsidP="00F507FB">
            <w:pPr>
              <w:jc w:val="center"/>
              <w:rPr>
                <w:b/>
              </w:rPr>
            </w:pPr>
            <w:r w:rsidRPr="00054197">
              <w:rPr>
                <w:b/>
              </w:rPr>
              <w:t>Année</w:t>
            </w:r>
          </w:p>
        </w:tc>
        <w:tc>
          <w:tcPr>
            <w:tcW w:w="1200" w:type="dxa"/>
            <w:shd w:val="clear" w:color="auto" w:fill="D9D9D9"/>
            <w:vAlign w:val="center"/>
          </w:tcPr>
          <w:p w:rsidR="00D4483D" w:rsidRPr="00054197" w:rsidRDefault="00D4483D" w:rsidP="00F507FB">
            <w:pPr>
              <w:jc w:val="center"/>
              <w:rPr>
                <w:b/>
              </w:rPr>
            </w:pPr>
            <w:r w:rsidRPr="00054197">
              <w:rPr>
                <w:b/>
              </w:rPr>
              <w:t>Nombre</w:t>
            </w:r>
          </w:p>
        </w:tc>
        <w:tc>
          <w:tcPr>
            <w:tcW w:w="1726" w:type="dxa"/>
            <w:shd w:val="clear" w:color="auto" w:fill="D9D9D9"/>
            <w:vAlign w:val="center"/>
          </w:tcPr>
          <w:p w:rsidR="00D4483D" w:rsidRPr="00054197" w:rsidRDefault="00D4483D" w:rsidP="00F507FB">
            <w:pPr>
              <w:jc w:val="center"/>
              <w:rPr>
                <w:b/>
              </w:rPr>
            </w:pPr>
            <w:r w:rsidRPr="00054197">
              <w:rPr>
                <w:b/>
              </w:rPr>
              <w:t>Montants en €</w:t>
            </w:r>
          </w:p>
        </w:tc>
      </w:tr>
      <w:tr w:rsidR="00D4483D" w:rsidRPr="00054197" w:rsidTr="00F507FB">
        <w:trPr>
          <w:trHeight w:val="255"/>
          <w:jc w:val="center"/>
        </w:trPr>
        <w:tc>
          <w:tcPr>
            <w:tcW w:w="1200" w:type="dxa"/>
            <w:noWrap/>
            <w:vAlign w:val="center"/>
          </w:tcPr>
          <w:p w:rsidR="00D4483D" w:rsidRPr="00054197" w:rsidRDefault="00D4483D" w:rsidP="00054197">
            <w:pPr>
              <w:jc w:val="center"/>
              <w:rPr>
                <w:b/>
              </w:rPr>
            </w:pPr>
            <w:r w:rsidRPr="00054197">
              <w:rPr>
                <w:b/>
              </w:rPr>
              <w:t>201</w:t>
            </w:r>
            <w:r>
              <w:rPr>
                <w:b/>
              </w:rPr>
              <w:t>1</w:t>
            </w:r>
          </w:p>
        </w:tc>
        <w:tc>
          <w:tcPr>
            <w:tcW w:w="1200" w:type="dxa"/>
            <w:noWrap/>
            <w:vAlign w:val="center"/>
          </w:tcPr>
          <w:p w:rsidR="00D4483D" w:rsidRPr="00054197" w:rsidRDefault="00D4483D" w:rsidP="00F507FB">
            <w:pPr>
              <w:jc w:val="center"/>
            </w:pPr>
            <w:r>
              <w:t>10</w:t>
            </w:r>
          </w:p>
        </w:tc>
        <w:tc>
          <w:tcPr>
            <w:tcW w:w="1726" w:type="dxa"/>
            <w:noWrap/>
            <w:vAlign w:val="center"/>
          </w:tcPr>
          <w:p w:rsidR="00D4483D" w:rsidRPr="00054197" w:rsidRDefault="00D4483D" w:rsidP="00290112">
            <w:pPr>
              <w:jc w:val="center"/>
            </w:pPr>
            <w:r>
              <w:t>611</w:t>
            </w:r>
            <w:r w:rsidRPr="00054197">
              <w:t xml:space="preserve"> €</w:t>
            </w:r>
          </w:p>
        </w:tc>
      </w:tr>
      <w:tr w:rsidR="00D4483D" w:rsidRPr="00054197" w:rsidTr="00F507FB">
        <w:trPr>
          <w:trHeight w:val="255"/>
          <w:jc w:val="center"/>
        </w:trPr>
        <w:tc>
          <w:tcPr>
            <w:tcW w:w="1200" w:type="dxa"/>
            <w:noWrap/>
            <w:vAlign w:val="center"/>
          </w:tcPr>
          <w:p w:rsidR="00D4483D" w:rsidRPr="00054197" w:rsidRDefault="00D4483D" w:rsidP="00A156FF">
            <w:pPr>
              <w:jc w:val="center"/>
              <w:rPr>
                <w:b/>
              </w:rPr>
            </w:pPr>
            <w:r w:rsidRPr="00054197">
              <w:rPr>
                <w:b/>
              </w:rPr>
              <w:t>2010</w:t>
            </w:r>
          </w:p>
        </w:tc>
        <w:tc>
          <w:tcPr>
            <w:tcW w:w="1200" w:type="dxa"/>
            <w:noWrap/>
            <w:vAlign w:val="center"/>
          </w:tcPr>
          <w:p w:rsidR="00D4483D" w:rsidRPr="00054197" w:rsidRDefault="00D4483D" w:rsidP="00F507FB">
            <w:pPr>
              <w:jc w:val="center"/>
            </w:pPr>
            <w:r w:rsidRPr="00054197">
              <w:t>3</w:t>
            </w:r>
          </w:p>
        </w:tc>
        <w:tc>
          <w:tcPr>
            <w:tcW w:w="1726" w:type="dxa"/>
            <w:noWrap/>
            <w:vAlign w:val="center"/>
          </w:tcPr>
          <w:p w:rsidR="00D4483D" w:rsidRPr="00054197" w:rsidRDefault="00D4483D" w:rsidP="00F507FB">
            <w:pPr>
              <w:jc w:val="center"/>
            </w:pPr>
            <w:r>
              <w:t xml:space="preserve">157 </w:t>
            </w:r>
            <w:r w:rsidRPr="00054197">
              <w:t>€</w:t>
            </w:r>
          </w:p>
        </w:tc>
      </w:tr>
      <w:tr w:rsidR="00D4483D" w:rsidRPr="00054197" w:rsidTr="00F507FB">
        <w:trPr>
          <w:trHeight w:val="255"/>
          <w:jc w:val="center"/>
        </w:trPr>
        <w:tc>
          <w:tcPr>
            <w:tcW w:w="1200" w:type="dxa"/>
            <w:noWrap/>
            <w:vAlign w:val="center"/>
          </w:tcPr>
          <w:p w:rsidR="00D4483D" w:rsidRPr="00054197" w:rsidRDefault="00D4483D" w:rsidP="00A156FF">
            <w:pPr>
              <w:jc w:val="center"/>
              <w:rPr>
                <w:b/>
              </w:rPr>
            </w:pPr>
            <w:r w:rsidRPr="00054197">
              <w:rPr>
                <w:b/>
              </w:rPr>
              <w:t>2009</w:t>
            </w:r>
          </w:p>
        </w:tc>
        <w:tc>
          <w:tcPr>
            <w:tcW w:w="1200" w:type="dxa"/>
            <w:noWrap/>
            <w:vAlign w:val="center"/>
          </w:tcPr>
          <w:p w:rsidR="00D4483D" w:rsidRPr="00054197" w:rsidRDefault="00D4483D" w:rsidP="00F507FB">
            <w:pPr>
              <w:jc w:val="center"/>
            </w:pPr>
            <w:r>
              <w:t>6</w:t>
            </w:r>
          </w:p>
        </w:tc>
        <w:tc>
          <w:tcPr>
            <w:tcW w:w="1726" w:type="dxa"/>
            <w:noWrap/>
            <w:vAlign w:val="center"/>
          </w:tcPr>
          <w:p w:rsidR="00D4483D" w:rsidRPr="00054197" w:rsidRDefault="00D4483D" w:rsidP="00F507FB">
            <w:pPr>
              <w:jc w:val="center"/>
            </w:pPr>
            <w:r>
              <w:t>565</w:t>
            </w:r>
            <w:r w:rsidRPr="00054197">
              <w:t xml:space="preserve"> €</w:t>
            </w:r>
          </w:p>
        </w:tc>
      </w:tr>
      <w:tr w:rsidR="00D4483D" w:rsidRPr="00054197" w:rsidTr="00F507FB">
        <w:trPr>
          <w:trHeight w:val="255"/>
          <w:jc w:val="center"/>
        </w:trPr>
        <w:tc>
          <w:tcPr>
            <w:tcW w:w="1200" w:type="dxa"/>
            <w:noWrap/>
            <w:vAlign w:val="center"/>
          </w:tcPr>
          <w:p w:rsidR="00D4483D" w:rsidRPr="00054197" w:rsidRDefault="00D4483D" w:rsidP="00A156FF">
            <w:pPr>
              <w:jc w:val="center"/>
              <w:rPr>
                <w:b/>
              </w:rPr>
            </w:pPr>
            <w:r w:rsidRPr="00054197">
              <w:rPr>
                <w:b/>
              </w:rPr>
              <w:t>2008</w:t>
            </w:r>
          </w:p>
        </w:tc>
        <w:tc>
          <w:tcPr>
            <w:tcW w:w="1200" w:type="dxa"/>
            <w:noWrap/>
            <w:vAlign w:val="center"/>
          </w:tcPr>
          <w:p w:rsidR="00D4483D" w:rsidRPr="00054197" w:rsidRDefault="00D4483D" w:rsidP="00F507FB">
            <w:pPr>
              <w:jc w:val="center"/>
            </w:pPr>
            <w:r>
              <w:t>4</w:t>
            </w:r>
          </w:p>
        </w:tc>
        <w:tc>
          <w:tcPr>
            <w:tcW w:w="1726" w:type="dxa"/>
            <w:noWrap/>
            <w:vAlign w:val="center"/>
          </w:tcPr>
          <w:p w:rsidR="00D4483D" w:rsidRPr="00054197" w:rsidRDefault="00D4483D" w:rsidP="00F507FB">
            <w:pPr>
              <w:jc w:val="center"/>
            </w:pPr>
            <w:r>
              <w:t>322</w:t>
            </w:r>
            <w:r w:rsidRPr="00054197">
              <w:t xml:space="preserve"> €</w:t>
            </w:r>
          </w:p>
        </w:tc>
      </w:tr>
      <w:tr w:rsidR="00D4483D" w:rsidRPr="00054197" w:rsidTr="00F507FB">
        <w:trPr>
          <w:trHeight w:val="255"/>
          <w:jc w:val="center"/>
        </w:trPr>
        <w:tc>
          <w:tcPr>
            <w:tcW w:w="1200" w:type="dxa"/>
            <w:noWrap/>
            <w:vAlign w:val="center"/>
          </w:tcPr>
          <w:p w:rsidR="00D4483D" w:rsidRPr="00054197" w:rsidRDefault="00D4483D" w:rsidP="00A156FF">
            <w:pPr>
              <w:jc w:val="center"/>
              <w:rPr>
                <w:b/>
              </w:rPr>
            </w:pPr>
            <w:r w:rsidRPr="00054197">
              <w:rPr>
                <w:b/>
              </w:rPr>
              <w:t>2007</w:t>
            </w:r>
          </w:p>
        </w:tc>
        <w:tc>
          <w:tcPr>
            <w:tcW w:w="1200" w:type="dxa"/>
            <w:noWrap/>
            <w:vAlign w:val="center"/>
          </w:tcPr>
          <w:p w:rsidR="00D4483D" w:rsidRPr="00054197" w:rsidRDefault="00D4483D" w:rsidP="00F507FB">
            <w:pPr>
              <w:jc w:val="center"/>
            </w:pPr>
            <w:r>
              <w:t>2</w:t>
            </w:r>
          </w:p>
        </w:tc>
        <w:tc>
          <w:tcPr>
            <w:tcW w:w="1726" w:type="dxa"/>
            <w:noWrap/>
            <w:vAlign w:val="center"/>
          </w:tcPr>
          <w:p w:rsidR="00D4483D" w:rsidRPr="00054197" w:rsidRDefault="00D4483D" w:rsidP="00F507FB">
            <w:pPr>
              <w:jc w:val="center"/>
            </w:pPr>
            <w:r>
              <w:t>20</w:t>
            </w:r>
            <w:r w:rsidRPr="00054197">
              <w:t xml:space="preserve"> €</w:t>
            </w:r>
          </w:p>
        </w:tc>
      </w:tr>
    </w:tbl>
    <w:p w:rsidR="00D4483D" w:rsidRDefault="00D4483D" w:rsidP="00054197"/>
    <w:p w:rsidR="00D4483D" w:rsidRDefault="00D4483D" w:rsidP="00054197">
      <w:r>
        <w:t>Le montant des impayés n’est donc pas significatif.</w:t>
      </w:r>
    </w:p>
    <w:p w:rsidR="00D4483D" w:rsidRDefault="00D4483D" w:rsidP="00054197"/>
    <w:p w:rsidR="00D4483D" w:rsidRPr="00C33914" w:rsidRDefault="00D4483D" w:rsidP="00D42A44">
      <w:pPr>
        <w:pStyle w:val="Heading2"/>
        <w:numPr>
          <w:ilvl w:val="1"/>
          <w:numId w:val="6"/>
        </w:numPr>
        <w:tabs>
          <w:tab w:val="clear" w:pos="851"/>
          <w:tab w:val="num" w:pos="993"/>
        </w:tabs>
      </w:pPr>
      <w:r>
        <w:br w:type="column"/>
      </w:r>
      <w:bookmarkStart w:id="15" w:name="_Toc367105220"/>
      <w:r w:rsidRPr="00054197">
        <w:t>Réfactions de fa</w:t>
      </w:r>
      <w:r w:rsidRPr="00BA7878">
        <w:t>ctures</w:t>
      </w:r>
      <w:bookmarkEnd w:id="15"/>
    </w:p>
    <w:p w:rsidR="00D4483D" w:rsidRPr="004D79B2" w:rsidRDefault="00D4483D" w:rsidP="00946EB4">
      <w:pPr>
        <w:jc w:val="both"/>
      </w:pPr>
    </w:p>
    <w:p w:rsidR="00D4483D" w:rsidRPr="00290112" w:rsidRDefault="00D4483D">
      <w:pPr>
        <w:pStyle w:val="Datelettre"/>
        <w:spacing w:after="0"/>
        <w:ind w:left="0" w:right="3"/>
        <w:jc w:val="both"/>
        <w:rPr>
          <w:noProof w:val="0"/>
          <w:sz w:val="24"/>
          <w:lang w:val="fr-FR"/>
        </w:rPr>
      </w:pPr>
      <w:r w:rsidRPr="00290112">
        <w:rPr>
          <w:noProof w:val="0"/>
          <w:sz w:val="24"/>
          <w:lang w:val="fr-FR"/>
        </w:rPr>
        <w:t>La loi de simplification du droit du 17 mai 2011 a introduit un article L.2224-12-4. III.bis au Code Général des Collectivités Territoriales, aux termes duquel</w:t>
      </w:r>
      <w:r>
        <w:rPr>
          <w:noProof w:val="0"/>
          <w:sz w:val="24"/>
          <w:lang w:val="fr-FR"/>
        </w:rPr>
        <w:t> :</w:t>
      </w:r>
    </w:p>
    <w:p w:rsidR="00D4483D" w:rsidRPr="00290112" w:rsidRDefault="00D4483D">
      <w:pPr>
        <w:pStyle w:val="Datelettre"/>
        <w:spacing w:after="0"/>
        <w:ind w:left="0" w:right="3"/>
        <w:jc w:val="both"/>
        <w:rPr>
          <w:noProof w:val="0"/>
          <w:sz w:val="24"/>
          <w:lang w:val="fr-FR"/>
        </w:rPr>
      </w:pPr>
    </w:p>
    <w:p w:rsidR="00D4483D" w:rsidRPr="00290112" w:rsidRDefault="00D4483D">
      <w:pPr>
        <w:pStyle w:val="Datelettre"/>
        <w:spacing w:after="0"/>
        <w:ind w:left="0" w:right="3"/>
        <w:jc w:val="both"/>
        <w:rPr>
          <w:noProof w:val="0"/>
          <w:sz w:val="24"/>
          <w:lang w:val="fr-FR"/>
        </w:rPr>
      </w:pPr>
      <w:r w:rsidRPr="00290112">
        <w:rPr>
          <w:noProof w:val="0"/>
          <w:sz w:val="24"/>
          <w:lang w:val="fr-FR"/>
        </w:rPr>
        <w:t xml:space="preserve">« </w:t>
      </w:r>
      <w:r w:rsidRPr="00290112">
        <w:rPr>
          <w:b/>
          <w:noProof w:val="0"/>
          <w:sz w:val="24"/>
          <w:lang w:val="fr-FR"/>
        </w:rPr>
        <w:t>Dès que le service d'eau potable constate une augmentation anormale du volume d'eau consommé par l'occupant d'un local d'habitation susceptible d'être causée par la fuite d'une canalisation, il en informe sans délai l'abonné</w:t>
      </w:r>
      <w:r w:rsidRPr="00290112">
        <w:rPr>
          <w:noProof w:val="0"/>
          <w:sz w:val="24"/>
          <w:lang w:val="fr-FR"/>
        </w:rPr>
        <w:t xml:space="preserve">. Une augmentation du volume d'eau consommé est anormale si le volume d'eau consommé depuis le dernier relevé excède le double du volume d'eau moyen consommé par l'abonné ou par un ou plusieurs abonnés ayant occupé le local d'habitation pendant une période équivalente au cours des trois années précédentes ou, à défaut, le volume d'eau moyen consommé dans la zone géographique de l'abonné dans des locaux d'habitation de taille et de caractéristiques comparables. </w:t>
      </w:r>
    </w:p>
    <w:p w:rsidR="00D4483D" w:rsidRPr="00290112" w:rsidRDefault="00D4483D">
      <w:pPr>
        <w:pStyle w:val="Datelettre"/>
        <w:spacing w:after="0"/>
        <w:ind w:left="0" w:right="3"/>
        <w:jc w:val="both"/>
        <w:rPr>
          <w:noProof w:val="0"/>
          <w:sz w:val="24"/>
          <w:lang w:val="fr-FR"/>
        </w:rPr>
      </w:pPr>
    </w:p>
    <w:p w:rsidR="00D4483D" w:rsidRPr="00290112" w:rsidRDefault="00D4483D">
      <w:pPr>
        <w:pStyle w:val="Datelettre"/>
        <w:spacing w:after="0"/>
        <w:ind w:left="0" w:right="3"/>
        <w:jc w:val="both"/>
        <w:rPr>
          <w:noProof w:val="0"/>
          <w:sz w:val="24"/>
          <w:lang w:val="fr-FR"/>
        </w:rPr>
      </w:pPr>
      <w:r w:rsidRPr="00290112">
        <w:rPr>
          <w:b/>
          <w:noProof w:val="0"/>
          <w:sz w:val="24"/>
          <w:lang w:val="fr-FR"/>
        </w:rPr>
        <w:t>L'abonné n'est pas tenu au paiement de la part de la consommation excédant le double de la consommation moyenne</w:t>
      </w:r>
      <w:r w:rsidRPr="00290112">
        <w:rPr>
          <w:noProof w:val="0"/>
          <w:sz w:val="24"/>
          <w:lang w:val="fr-FR"/>
        </w:rPr>
        <w:t xml:space="preserve"> s'il présente au service d'eau potable, dans le délai d'un mois à compter de l'information prévue au premier alinéa du présent III bis, une attestation d'une entreprise de plomberie indiquant qu'il a fait procéder à la réparation d'une fuite sur ses canalisations. </w:t>
      </w:r>
    </w:p>
    <w:p w:rsidR="00D4483D" w:rsidRPr="00290112" w:rsidRDefault="00D4483D">
      <w:pPr>
        <w:pStyle w:val="Datelettre"/>
        <w:spacing w:after="0"/>
        <w:ind w:left="0" w:right="3"/>
        <w:jc w:val="both"/>
        <w:rPr>
          <w:noProof w:val="0"/>
          <w:sz w:val="24"/>
          <w:lang w:val="fr-FR"/>
        </w:rPr>
      </w:pPr>
    </w:p>
    <w:p w:rsidR="00D4483D" w:rsidRPr="00290112" w:rsidRDefault="00D4483D">
      <w:pPr>
        <w:pStyle w:val="Datelettre"/>
        <w:spacing w:after="0"/>
        <w:ind w:left="0" w:right="3"/>
        <w:jc w:val="both"/>
        <w:rPr>
          <w:noProof w:val="0"/>
          <w:sz w:val="24"/>
          <w:lang w:val="fr-FR"/>
        </w:rPr>
      </w:pPr>
      <w:r w:rsidRPr="00290112">
        <w:rPr>
          <w:noProof w:val="0"/>
          <w:sz w:val="24"/>
          <w:lang w:val="fr-FR"/>
        </w:rPr>
        <w:t xml:space="preserve">L'abonné peut demander, dans le même délai d'un mois, au service d'eau potable de vérifier le bon fonctionnement du compteur. L'abonné n'est alors tenu au paiement de la part de la consommation excédant le double de la consommation moyenne qu'à compter de la notification par le service d'eau potable, et après enquête, que cette augmentation n'est pas imputable à un défaut de fonctionnement du compteur. </w:t>
      </w:r>
    </w:p>
    <w:p w:rsidR="00D4483D" w:rsidRPr="00290112" w:rsidRDefault="00D4483D">
      <w:pPr>
        <w:pStyle w:val="Datelettre"/>
        <w:spacing w:after="0"/>
        <w:ind w:left="0" w:right="3"/>
        <w:jc w:val="both"/>
        <w:rPr>
          <w:noProof w:val="0"/>
          <w:sz w:val="24"/>
          <w:lang w:val="fr-FR"/>
        </w:rPr>
      </w:pPr>
    </w:p>
    <w:p w:rsidR="00D4483D" w:rsidRPr="00290112" w:rsidRDefault="00D4483D">
      <w:pPr>
        <w:pStyle w:val="Datelettre"/>
        <w:spacing w:after="0"/>
        <w:ind w:left="0" w:right="3"/>
        <w:jc w:val="both"/>
        <w:rPr>
          <w:b/>
          <w:noProof w:val="0"/>
          <w:sz w:val="24"/>
          <w:lang w:val="fr-FR"/>
        </w:rPr>
      </w:pPr>
      <w:r w:rsidRPr="00290112">
        <w:rPr>
          <w:b/>
          <w:noProof w:val="0"/>
          <w:sz w:val="24"/>
          <w:lang w:val="fr-FR"/>
        </w:rPr>
        <w:t xml:space="preserve">A défaut de l'information mentionnée au premier alinéa du présent III bis, l'abonné n'est pas tenu au paiement de la part de la consommation excédant le double de la consommation moyenne. </w:t>
      </w:r>
    </w:p>
    <w:p w:rsidR="00D4483D" w:rsidRPr="00290112" w:rsidRDefault="00D4483D">
      <w:pPr>
        <w:pStyle w:val="Datelettre"/>
        <w:spacing w:after="0"/>
        <w:ind w:left="0" w:right="3"/>
        <w:jc w:val="both"/>
        <w:rPr>
          <w:noProof w:val="0"/>
          <w:sz w:val="24"/>
          <w:lang w:val="fr-FR"/>
        </w:rPr>
      </w:pPr>
    </w:p>
    <w:p w:rsidR="00D4483D" w:rsidRPr="00290112" w:rsidRDefault="00D4483D">
      <w:pPr>
        <w:pStyle w:val="Datelettre"/>
        <w:spacing w:after="0"/>
        <w:ind w:left="0" w:right="3"/>
        <w:jc w:val="both"/>
        <w:rPr>
          <w:noProof w:val="0"/>
          <w:sz w:val="24"/>
          <w:lang w:val="fr-FR"/>
        </w:rPr>
      </w:pPr>
      <w:r w:rsidRPr="00290112">
        <w:rPr>
          <w:noProof w:val="0"/>
          <w:sz w:val="24"/>
          <w:lang w:val="fr-FR"/>
        </w:rPr>
        <w:t>Les redevances et sommes prévues par le premier alinéa de l'article L. 2224-12-2 sont calculées en tenant compte de la consommation facturée. »</w:t>
      </w:r>
    </w:p>
    <w:p w:rsidR="00D4483D" w:rsidRPr="00290112" w:rsidRDefault="00D4483D">
      <w:pPr>
        <w:pStyle w:val="Datelettre"/>
        <w:spacing w:after="0"/>
        <w:ind w:left="0" w:right="3"/>
        <w:jc w:val="both"/>
        <w:rPr>
          <w:noProof w:val="0"/>
          <w:sz w:val="24"/>
          <w:lang w:val="fr-FR"/>
        </w:rPr>
      </w:pPr>
    </w:p>
    <w:p w:rsidR="00D4483D" w:rsidRPr="00A06DB1" w:rsidRDefault="00D4483D" w:rsidP="00AA5527">
      <w:pPr>
        <w:jc w:val="both"/>
      </w:pPr>
      <w:r>
        <w:t>Le décret n°2012-1078 du 24 septembre 2012 est venu préciser les modalités d’application du présent III Bis et notamment les dispositions transitoires d’ici à l’entrée en vigueur de la présente réglementation, prévue pour le 1</w:t>
      </w:r>
      <w:r w:rsidRPr="00670DA3">
        <w:rPr>
          <w:vertAlign w:val="superscript"/>
        </w:rPr>
        <w:t>er</w:t>
      </w:r>
      <w:r>
        <w:t xml:space="preserve"> juillet 2013, et qui sont les suivantes : « </w:t>
      </w:r>
      <w:r w:rsidRPr="00A06DB1">
        <w:rPr>
          <w:i/>
        </w:rPr>
        <w:t>si l’abonné constate au vu de la facture établie sur le relevé de compteur permettant de mesurer sa consommation effective une consommation d'eau anormale imputable à une fuite de canalisation après compteur, il peut obtenir le bénéfice de l'écrêtement de la facture prévu au III bis de l'article L. 2224-12-4 du code général des collectivités territoriales en fournissant au service d’eau potable, dans le mois suivant la réception de la facture, l'attestation d'une entreprise de plomberie qui mentionne la localisation de la fuite et la date de sa réparation</w:t>
      </w:r>
      <w:r w:rsidRPr="00A06DB1">
        <w:t> ».</w:t>
      </w:r>
    </w:p>
    <w:p w:rsidR="00D4483D" w:rsidRPr="00290112" w:rsidRDefault="00D4483D">
      <w:pPr>
        <w:pStyle w:val="Datelettre"/>
        <w:spacing w:after="0"/>
        <w:ind w:left="0" w:right="3"/>
        <w:jc w:val="both"/>
        <w:rPr>
          <w:noProof w:val="0"/>
          <w:sz w:val="24"/>
          <w:lang w:val="fr-FR"/>
        </w:rPr>
      </w:pPr>
    </w:p>
    <w:p w:rsidR="00D4483D" w:rsidRDefault="00D4483D">
      <w:pPr>
        <w:pStyle w:val="Datelettre"/>
        <w:spacing w:after="0"/>
        <w:ind w:left="0" w:right="3"/>
        <w:jc w:val="both"/>
        <w:rPr>
          <w:noProof w:val="0"/>
          <w:sz w:val="24"/>
          <w:lang w:val="fr-FR"/>
        </w:rPr>
      </w:pPr>
      <w:r>
        <w:rPr>
          <w:noProof w:val="0"/>
          <w:sz w:val="24"/>
          <w:lang w:val="fr-FR"/>
        </w:rPr>
        <w:t>Dès lors, il conviendrade formaliser cette règle à la fois dans le prochain contrat d’exploitation et dans le règlement de service.</w:t>
      </w:r>
    </w:p>
    <w:p w:rsidR="00D4483D" w:rsidRDefault="00D4483D">
      <w:pPr>
        <w:pStyle w:val="Datelettre"/>
        <w:spacing w:after="0"/>
        <w:ind w:left="0" w:right="3"/>
        <w:jc w:val="both"/>
        <w:rPr>
          <w:noProof w:val="0"/>
          <w:sz w:val="24"/>
          <w:lang w:val="fr-FR"/>
        </w:rPr>
      </w:pPr>
    </w:p>
    <w:p w:rsidR="00D4483D" w:rsidRDefault="00D4483D">
      <w:pPr>
        <w:spacing w:after="200" w:line="276" w:lineRule="auto"/>
        <w:rPr>
          <w:rFonts w:cs="Arial"/>
          <w:b/>
          <w:bCs/>
          <w:iCs/>
          <w:sz w:val="26"/>
          <w:szCs w:val="26"/>
          <w:u w:val="single"/>
        </w:rPr>
      </w:pPr>
      <w:r>
        <w:br w:type="page"/>
      </w:r>
    </w:p>
    <w:p w:rsidR="00D4483D" w:rsidRPr="004D79B2" w:rsidRDefault="00D4483D" w:rsidP="00D42A44">
      <w:pPr>
        <w:pStyle w:val="Heading2"/>
        <w:numPr>
          <w:ilvl w:val="1"/>
          <w:numId w:val="6"/>
        </w:numPr>
        <w:tabs>
          <w:tab w:val="clear" w:pos="851"/>
          <w:tab w:val="num" w:pos="993"/>
        </w:tabs>
      </w:pPr>
      <w:bookmarkStart w:id="16" w:name="_Toc367105221"/>
      <w:r w:rsidRPr="004D79B2">
        <w:t>Réclamations clients</w:t>
      </w:r>
      <w:bookmarkEnd w:id="16"/>
    </w:p>
    <w:p w:rsidR="00D4483D" w:rsidRDefault="00D4483D" w:rsidP="00946EB4">
      <w:pPr>
        <w:jc w:val="both"/>
      </w:pPr>
    </w:p>
    <w:p w:rsidR="00D4483D" w:rsidRPr="007E0B78" w:rsidRDefault="00D4483D" w:rsidP="00946EB4">
      <w:pPr>
        <w:jc w:val="both"/>
        <w:rPr>
          <w:u w:val="single"/>
        </w:rPr>
      </w:pPr>
      <w:r>
        <w:rPr>
          <w:u w:val="single"/>
        </w:rPr>
        <w:t xml:space="preserve">Etat </w:t>
      </w:r>
      <w:r w:rsidRPr="007E0B78">
        <w:rPr>
          <w:u w:val="single"/>
        </w:rPr>
        <w:t xml:space="preserve">des </w:t>
      </w:r>
      <w:r>
        <w:rPr>
          <w:u w:val="single"/>
        </w:rPr>
        <w:t>demandes de</w:t>
      </w:r>
      <w:r w:rsidRPr="007E0B78">
        <w:rPr>
          <w:u w:val="single"/>
        </w:rPr>
        <w:t>renseignements et réclamations recensées par l’exploitant</w:t>
      </w:r>
    </w:p>
    <w:p w:rsidR="00D4483D" w:rsidRPr="007E0B78" w:rsidRDefault="00D4483D" w:rsidP="00946EB4">
      <w:pPr>
        <w:jc w:val="both"/>
      </w:pPr>
    </w:p>
    <w:tbl>
      <w:tblPr>
        <w:tblW w:w="6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360"/>
        <w:gridCol w:w="1455"/>
        <w:gridCol w:w="1455"/>
      </w:tblGrid>
      <w:tr w:rsidR="00D4483D" w:rsidRPr="007E0B78" w:rsidTr="007E0B78">
        <w:trPr>
          <w:trHeight w:val="236"/>
          <w:jc w:val="center"/>
        </w:trPr>
        <w:tc>
          <w:tcPr>
            <w:tcW w:w="3360" w:type="dxa"/>
            <w:tcBorders>
              <w:top w:val="nil"/>
              <w:left w:val="nil"/>
              <w:bottom w:val="nil"/>
            </w:tcBorders>
            <w:noWrap/>
            <w:vAlign w:val="center"/>
          </w:tcPr>
          <w:p w:rsidR="00D4483D" w:rsidRPr="007E0B78" w:rsidRDefault="00D4483D" w:rsidP="007E0B78"/>
        </w:tc>
        <w:tc>
          <w:tcPr>
            <w:tcW w:w="2910" w:type="dxa"/>
            <w:gridSpan w:val="2"/>
            <w:shd w:val="clear" w:color="auto" w:fill="D9D9D9"/>
            <w:noWrap/>
            <w:vAlign w:val="center"/>
          </w:tcPr>
          <w:p w:rsidR="00D4483D" w:rsidRPr="007E0B78" w:rsidRDefault="00D4483D" w:rsidP="00766CA8">
            <w:pPr>
              <w:jc w:val="center"/>
              <w:rPr>
                <w:b/>
              </w:rPr>
            </w:pPr>
            <w:r w:rsidRPr="007E0B78">
              <w:rPr>
                <w:b/>
              </w:rPr>
              <w:t>Bois-le Roi</w:t>
            </w:r>
          </w:p>
        </w:tc>
      </w:tr>
      <w:tr w:rsidR="00D4483D" w:rsidRPr="007E0B78" w:rsidTr="007E0B78">
        <w:trPr>
          <w:trHeight w:val="236"/>
          <w:jc w:val="center"/>
        </w:trPr>
        <w:tc>
          <w:tcPr>
            <w:tcW w:w="3360" w:type="dxa"/>
            <w:tcBorders>
              <w:top w:val="nil"/>
              <w:left w:val="nil"/>
            </w:tcBorders>
            <w:noWrap/>
            <w:vAlign w:val="center"/>
          </w:tcPr>
          <w:p w:rsidR="00D4483D" w:rsidRPr="007E0B78" w:rsidRDefault="00D4483D" w:rsidP="007E0B78"/>
        </w:tc>
        <w:tc>
          <w:tcPr>
            <w:tcW w:w="1455" w:type="dxa"/>
            <w:shd w:val="clear" w:color="auto" w:fill="D9D9D9"/>
            <w:noWrap/>
            <w:vAlign w:val="center"/>
          </w:tcPr>
          <w:p w:rsidR="00D4483D" w:rsidRPr="007E0B78" w:rsidRDefault="00D4483D" w:rsidP="007E0B78">
            <w:pPr>
              <w:jc w:val="center"/>
              <w:rPr>
                <w:b/>
              </w:rPr>
            </w:pPr>
            <w:r w:rsidRPr="007E0B78">
              <w:rPr>
                <w:b/>
              </w:rPr>
              <w:t>Année 201</w:t>
            </w:r>
            <w:r>
              <w:rPr>
                <w:b/>
              </w:rPr>
              <w:t>1</w:t>
            </w:r>
          </w:p>
        </w:tc>
        <w:tc>
          <w:tcPr>
            <w:tcW w:w="1455" w:type="dxa"/>
            <w:shd w:val="clear" w:color="auto" w:fill="D9D9D9"/>
            <w:noWrap/>
            <w:vAlign w:val="center"/>
          </w:tcPr>
          <w:p w:rsidR="00D4483D" w:rsidRPr="007E0B78" w:rsidRDefault="00D4483D" w:rsidP="007E0B78">
            <w:pPr>
              <w:jc w:val="center"/>
              <w:rPr>
                <w:b/>
              </w:rPr>
            </w:pPr>
            <w:r w:rsidRPr="007E0B78">
              <w:rPr>
                <w:b/>
              </w:rPr>
              <w:t>Année 201</w:t>
            </w:r>
            <w:r>
              <w:rPr>
                <w:b/>
              </w:rPr>
              <w:t>2</w:t>
            </w:r>
          </w:p>
        </w:tc>
      </w:tr>
      <w:tr w:rsidR="00D4483D" w:rsidRPr="007E0B78" w:rsidTr="007E0B78">
        <w:trPr>
          <w:trHeight w:val="236"/>
          <w:jc w:val="center"/>
        </w:trPr>
        <w:tc>
          <w:tcPr>
            <w:tcW w:w="3360" w:type="dxa"/>
            <w:noWrap/>
            <w:vAlign w:val="center"/>
          </w:tcPr>
          <w:p w:rsidR="00D4483D" w:rsidRPr="007E0B78" w:rsidRDefault="00D4483D" w:rsidP="007E0B78">
            <w:pPr>
              <w:rPr>
                <w:b/>
              </w:rPr>
            </w:pPr>
            <w:r w:rsidRPr="007E0B78">
              <w:rPr>
                <w:b/>
              </w:rPr>
              <w:t>Administratives (facturation, etc.)</w:t>
            </w:r>
          </w:p>
        </w:tc>
        <w:tc>
          <w:tcPr>
            <w:tcW w:w="1455" w:type="dxa"/>
            <w:noWrap/>
            <w:vAlign w:val="center"/>
          </w:tcPr>
          <w:p w:rsidR="00D4483D" w:rsidRPr="007E0B78" w:rsidRDefault="00D4483D" w:rsidP="00707C4E">
            <w:pPr>
              <w:jc w:val="center"/>
              <w:rPr>
                <w:b/>
                <w:color w:val="000000"/>
              </w:rPr>
            </w:pPr>
            <w:r>
              <w:rPr>
                <w:b/>
                <w:color w:val="000000"/>
                <w:szCs w:val="22"/>
              </w:rPr>
              <w:t>61</w:t>
            </w:r>
          </w:p>
        </w:tc>
        <w:tc>
          <w:tcPr>
            <w:tcW w:w="1455" w:type="dxa"/>
            <w:noWrap/>
            <w:vAlign w:val="center"/>
          </w:tcPr>
          <w:p w:rsidR="00D4483D" w:rsidRPr="007E0B78" w:rsidRDefault="00D4483D" w:rsidP="00707C4E">
            <w:pPr>
              <w:jc w:val="center"/>
              <w:rPr>
                <w:b/>
                <w:color w:val="000000"/>
              </w:rPr>
            </w:pPr>
            <w:r>
              <w:rPr>
                <w:b/>
                <w:color w:val="000000"/>
                <w:szCs w:val="22"/>
              </w:rPr>
              <w:t>58</w:t>
            </w:r>
          </w:p>
        </w:tc>
      </w:tr>
      <w:tr w:rsidR="00D4483D" w:rsidRPr="007E0B78" w:rsidTr="007E0B78">
        <w:trPr>
          <w:trHeight w:val="236"/>
          <w:jc w:val="center"/>
        </w:trPr>
        <w:tc>
          <w:tcPr>
            <w:tcW w:w="3360" w:type="dxa"/>
            <w:noWrap/>
            <w:vAlign w:val="center"/>
          </w:tcPr>
          <w:p w:rsidR="00D4483D" w:rsidRPr="007E0B78" w:rsidRDefault="00D4483D" w:rsidP="007E0B78">
            <w:pPr>
              <w:rPr>
                <w:b/>
              </w:rPr>
            </w:pPr>
          </w:p>
        </w:tc>
        <w:tc>
          <w:tcPr>
            <w:tcW w:w="1455" w:type="dxa"/>
            <w:noWrap/>
            <w:vAlign w:val="center"/>
          </w:tcPr>
          <w:p w:rsidR="00D4483D" w:rsidRPr="007E0B78" w:rsidRDefault="00D4483D" w:rsidP="00707C4E">
            <w:pPr>
              <w:jc w:val="center"/>
              <w:rPr>
                <w:color w:val="000000"/>
              </w:rPr>
            </w:pPr>
          </w:p>
        </w:tc>
        <w:tc>
          <w:tcPr>
            <w:tcW w:w="1455" w:type="dxa"/>
            <w:noWrap/>
            <w:vAlign w:val="center"/>
          </w:tcPr>
          <w:p w:rsidR="00D4483D" w:rsidRPr="007E0B78" w:rsidRDefault="00D4483D" w:rsidP="00707C4E">
            <w:pPr>
              <w:jc w:val="center"/>
              <w:rPr>
                <w:color w:val="000000"/>
              </w:rPr>
            </w:pPr>
          </w:p>
        </w:tc>
      </w:tr>
      <w:tr w:rsidR="00D4483D" w:rsidRPr="007E0B78" w:rsidTr="007E0B78">
        <w:trPr>
          <w:trHeight w:val="236"/>
          <w:jc w:val="center"/>
        </w:trPr>
        <w:tc>
          <w:tcPr>
            <w:tcW w:w="3360" w:type="dxa"/>
            <w:noWrap/>
            <w:vAlign w:val="center"/>
          </w:tcPr>
          <w:p w:rsidR="00D4483D" w:rsidRPr="007E0B78" w:rsidRDefault="00D4483D" w:rsidP="007E0B78">
            <w:pPr>
              <w:rPr>
                <w:b/>
              </w:rPr>
            </w:pPr>
            <w:r w:rsidRPr="007E0B78">
              <w:rPr>
                <w:b/>
              </w:rPr>
              <w:t>Techniques</w:t>
            </w:r>
          </w:p>
        </w:tc>
        <w:tc>
          <w:tcPr>
            <w:tcW w:w="1455" w:type="dxa"/>
            <w:noWrap/>
            <w:vAlign w:val="center"/>
          </w:tcPr>
          <w:p w:rsidR="00D4483D" w:rsidRPr="007E0B78" w:rsidRDefault="00D4483D" w:rsidP="00707C4E">
            <w:pPr>
              <w:jc w:val="center"/>
              <w:rPr>
                <w:b/>
                <w:color w:val="000000"/>
              </w:rPr>
            </w:pPr>
            <w:r>
              <w:rPr>
                <w:b/>
                <w:color w:val="000000"/>
                <w:szCs w:val="22"/>
              </w:rPr>
              <w:t>117</w:t>
            </w:r>
          </w:p>
        </w:tc>
        <w:tc>
          <w:tcPr>
            <w:tcW w:w="1455" w:type="dxa"/>
            <w:noWrap/>
            <w:vAlign w:val="center"/>
          </w:tcPr>
          <w:p w:rsidR="00D4483D" w:rsidRPr="007E0B78" w:rsidRDefault="00D4483D" w:rsidP="00707C4E">
            <w:pPr>
              <w:jc w:val="center"/>
              <w:rPr>
                <w:b/>
                <w:color w:val="000000"/>
              </w:rPr>
            </w:pPr>
            <w:r>
              <w:rPr>
                <w:b/>
                <w:color w:val="000000"/>
                <w:szCs w:val="22"/>
              </w:rPr>
              <w:t>120</w:t>
            </w:r>
          </w:p>
        </w:tc>
      </w:tr>
      <w:tr w:rsidR="00D4483D" w:rsidRPr="007E0B78" w:rsidTr="007E0B78">
        <w:trPr>
          <w:trHeight w:val="236"/>
          <w:jc w:val="center"/>
        </w:trPr>
        <w:tc>
          <w:tcPr>
            <w:tcW w:w="3360" w:type="dxa"/>
            <w:noWrap/>
            <w:vAlign w:val="center"/>
          </w:tcPr>
          <w:p w:rsidR="00D4483D" w:rsidRPr="007E0B78" w:rsidRDefault="00D4483D" w:rsidP="007E0B78">
            <w:pPr>
              <w:rPr>
                <w:color w:val="000000"/>
              </w:rPr>
            </w:pPr>
            <w:r w:rsidRPr="007E0B78">
              <w:rPr>
                <w:color w:val="000000"/>
                <w:szCs w:val="22"/>
              </w:rPr>
              <w:t>Fuites</w:t>
            </w:r>
          </w:p>
        </w:tc>
        <w:tc>
          <w:tcPr>
            <w:tcW w:w="1455" w:type="dxa"/>
            <w:noWrap/>
            <w:vAlign w:val="center"/>
          </w:tcPr>
          <w:p w:rsidR="00D4483D" w:rsidRPr="007E0B78" w:rsidRDefault="00D4483D" w:rsidP="007E0B78">
            <w:pPr>
              <w:jc w:val="center"/>
              <w:rPr>
                <w:color w:val="000000"/>
              </w:rPr>
            </w:pPr>
            <w:r w:rsidRPr="007E0B78">
              <w:rPr>
                <w:color w:val="000000"/>
                <w:szCs w:val="22"/>
              </w:rPr>
              <w:t>76</w:t>
            </w:r>
          </w:p>
        </w:tc>
        <w:tc>
          <w:tcPr>
            <w:tcW w:w="1455" w:type="dxa"/>
            <w:noWrap/>
            <w:vAlign w:val="center"/>
          </w:tcPr>
          <w:p w:rsidR="00D4483D" w:rsidRPr="007E0B78" w:rsidRDefault="00D4483D" w:rsidP="007E0B78">
            <w:pPr>
              <w:jc w:val="center"/>
              <w:rPr>
                <w:color w:val="000000"/>
              </w:rPr>
            </w:pPr>
            <w:r w:rsidRPr="007E0B78">
              <w:rPr>
                <w:color w:val="000000"/>
                <w:szCs w:val="22"/>
              </w:rPr>
              <w:t>70</w:t>
            </w:r>
          </w:p>
        </w:tc>
      </w:tr>
      <w:tr w:rsidR="00D4483D" w:rsidRPr="007E0B78" w:rsidTr="007E0B78">
        <w:trPr>
          <w:trHeight w:val="236"/>
          <w:jc w:val="center"/>
        </w:trPr>
        <w:tc>
          <w:tcPr>
            <w:tcW w:w="3360" w:type="dxa"/>
            <w:noWrap/>
            <w:vAlign w:val="center"/>
          </w:tcPr>
          <w:p w:rsidR="00D4483D" w:rsidRPr="007E0B78" w:rsidRDefault="00D4483D" w:rsidP="007E0B78">
            <w:pPr>
              <w:rPr>
                <w:color w:val="000000"/>
              </w:rPr>
            </w:pPr>
            <w:r w:rsidRPr="007E0B78">
              <w:rPr>
                <w:color w:val="000000"/>
                <w:szCs w:val="22"/>
              </w:rPr>
              <w:t>Aspect</w:t>
            </w:r>
          </w:p>
        </w:tc>
        <w:tc>
          <w:tcPr>
            <w:tcW w:w="1455" w:type="dxa"/>
            <w:noWrap/>
            <w:vAlign w:val="center"/>
          </w:tcPr>
          <w:p w:rsidR="00D4483D" w:rsidRPr="007E0B78" w:rsidRDefault="00D4483D" w:rsidP="007E0B78">
            <w:pPr>
              <w:jc w:val="center"/>
              <w:rPr>
                <w:color w:val="000000"/>
              </w:rPr>
            </w:pPr>
            <w:r w:rsidRPr="007E0B78">
              <w:rPr>
                <w:color w:val="000000"/>
                <w:szCs w:val="22"/>
              </w:rPr>
              <w:t>1</w:t>
            </w:r>
          </w:p>
        </w:tc>
        <w:tc>
          <w:tcPr>
            <w:tcW w:w="1455" w:type="dxa"/>
            <w:noWrap/>
            <w:vAlign w:val="center"/>
          </w:tcPr>
          <w:p w:rsidR="00D4483D" w:rsidRPr="007E0B78" w:rsidRDefault="00D4483D" w:rsidP="007E0B78">
            <w:pPr>
              <w:jc w:val="center"/>
              <w:rPr>
                <w:color w:val="000000"/>
              </w:rPr>
            </w:pPr>
            <w:r w:rsidRPr="007E0B78">
              <w:rPr>
                <w:color w:val="000000"/>
                <w:szCs w:val="22"/>
              </w:rPr>
              <w:t>0</w:t>
            </w:r>
          </w:p>
        </w:tc>
      </w:tr>
      <w:tr w:rsidR="00D4483D" w:rsidRPr="007E0B78" w:rsidTr="007E0B78">
        <w:trPr>
          <w:trHeight w:val="236"/>
          <w:jc w:val="center"/>
        </w:trPr>
        <w:tc>
          <w:tcPr>
            <w:tcW w:w="3360" w:type="dxa"/>
            <w:noWrap/>
            <w:vAlign w:val="center"/>
          </w:tcPr>
          <w:p w:rsidR="00D4483D" w:rsidRPr="007E0B78" w:rsidRDefault="00D4483D" w:rsidP="007E0B78">
            <w:pPr>
              <w:rPr>
                <w:color w:val="000000"/>
              </w:rPr>
            </w:pPr>
            <w:r w:rsidRPr="007E0B78">
              <w:rPr>
                <w:color w:val="000000"/>
                <w:szCs w:val="22"/>
              </w:rPr>
              <w:t>Manque d’eau</w:t>
            </w:r>
          </w:p>
        </w:tc>
        <w:tc>
          <w:tcPr>
            <w:tcW w:w="1455" w:type="dxa"/>
            <w:noWrap/>
            <w:vAlign w:val="center"/>
          </w:tcPr>
          <w:p w:rsidR="00D4483D" w:rsidRPr="007E0B78" w:rsidRDefault="00D4483D" w:rsidP="007E0B78">
            <w:pPr>
              <w:jc w:val="center"/>
              <w:rPr>
                <w:color w:val="000000"/>
              </w:rPr>
            </w:pPr>
            <w:r w:rsidRPr="007E0B78">
              <w:rPr>
                <w:color w:val="000000"/>
                <w:szCs w:val="22"/>
              </w:rPr>
              <w:t>17</w:t>
            </w:r>
          </w:p>
        </w:tc>
        <w:tc>
          <w:tcPr>
            <w:tcW w:w="1455" w:type="dxa"/>
            <w:noWrap/>
            <w:vAlign w:val="center"/>
          </w:tcPr>
          <w:p w:rsidR="00D4483D" w:rsidRPr="007E0B78" w:rsidRDefault="00D4483D" w:rsidP="007E0B78">
            <w:pPr>
              <w:jc w:val="center"/>
              <w:rPr>
                <w:color w:val="000000"/>
              </w:rPr>
            </w:pPr>
            <w:r w:rsidRPr="007E0B78">
              <w:rPr>
                <w:color w:val="000000"/>
                <w:szCs w:val="22"/>
              </w:rPr>
              <w:t>10</w:t>
            </w:r>
          </w:p>
        </w:tc>
      </w:tr>
      <w:tr w:rsidR="00D4483D" w:rsidRPr="007E0B78" w:rsidTr="007E0B78">
        <w:trPr>
          <w:trHeight w:val="236"/>
          <w:jc w:val="center"/>
        </w:trPr>
        <w:tc>
          <w:tcPr>
            <w:tcW w:w="3360" w:type="dxa"/>
            <w:noWrap/>
            <w:vAlign w:val="center"/>
          </w:tcPr>
          <w:p w:rsidR="00D4483D" w:rsidRPr="007E0B78" w:rsidRDefault="00D4483D" w:rsidP="007E0B78">
            <w:pPr>
              <w:rPr>
                <w:color w:val="000000"/>
              </w:rPr>
            </w:pPr>
            <w:r w:rsidRPr="007E0B78">
              <w:rPr>
                <w:color w:val="000000"/>
                <w:szCs w:val="22"/>
              </w:rPr>
              <w:t>Odeur</w:t>
            </w:r>
          </w:p>
        </w:tc>
        <w:tc>
          <w:tcPr>
            <w:tcW w:w="1455" w:type="dxa"/>
            <w:noWrap/>
            <w:vAlign w:val="center"/>
          </w:tcPr>
          <w:p w:rsidR="00D4483D" w:rsidRPr="007E0B78" w:rsidRDefault="00D4483D" w:rsidP="007E0B78">
            <w:pPr>
              <w:jc w:val="center"/>
              <w:rPr>
                <w:color w:val="000000"/>
              </w:rPr>
            </w:pPr>
            <w:r w:rsidRPr="007E0B78">
              <w:rPr>
                <w:color w:val="000000"/>
                <w:szCs w:val="22"/>
              </w:rPr>
              <w:t>1</w:t>
            </w:r>
          </w:p>
        </w:tc>
        <w:tc>
          <w:tcPr>
            <w:tcW w:w="1455" w:type="dxa"/>
            <w:noWrap/>
            <w:vAlign w:val="center"/>
          </w:tcPr>
          <w:p w:rsidR="00D4483D" w:rsidRPr="007E0B78" w:rsidRDefault="00D4483D" w:rsidP="007E0B78">
            <w:pPr>
              <w:jc w:val="center"/>
              <w:rPr>
                <w:color w:val="000000"/>
              </w:rPr>
            </w:pPr>
            <w:r w:rsidRPr="007E0B78">
              <w:rPr>
                <w:color w:val="000000"/>
                <w:szCs w:val="22"/>
              </w:rPr>
              <w:t>3</w:t>
            </w:r>
          </w:p>
        </w:tc>
      </w:tr>
      <w:tr w:rsidR="00D4483D" w:rsidRPr="007E0B78" w:rsidTr="007E0B78">
        <w:trPr>
          <w:trHeight w:val="236"/>
          <w:jc w:val="center"/>
        </w:trPr>
        <w:tc>
          <w:tcPr>
            <w:tcW w:w="3360" w:type="dxa"/>
            <w:noWrap/>
            <w:vAlign w:val="center"/>
          </w:tcPr>
          <w:p w:rsidR="00D4483D" w:rsidRPr="007E0B78" w:rsidRDefault="00D4483D" w:rsidP="007E0B78">
            <w:pPr>
              <w:rPr>
                <w:color w:val="000000"/>
              </w:rPr>
            </w:pPr>
            <w:r w:rsidRPr="007E0B78">
              <w:rPr>
                <w:color w:val="000000"/>
                <w:szCs w:val="22"/>
              </w:rPr>
              <w:t>Pression</w:t>
            </w:r>
          </w:p>
        </w:tc>
        <w:tc>
          <w:tcPr>
            <w:tcW w:w="1455" w:type="dxa"/>
            <w:noWrap/>
            <w:vAlign w:val="center"/>
          </w:tcPr>
          <w:p w:rsidR="00D4483D" w:rsidRPr="007E0B78" w:rsidRDefault="00D4483D" w:rsidP="007E0B78">
            <w:pPr>
              <w:jc w:val="center"/>
              <w:rPr>
                <w:color w:val="000000"/>
              </w:rPr>
            </w:pPr>
            <w:r w:rsidRPr="007E0B78">
              <w:rPr>
                <w:color w:val="000000"/>
                <w:szCs w:val="22"/>
              </w:rPr>
              <w:t>2</w:t>
            </w:r>
          </w:p>
        </w:tc>
        <w:tc>
          <w:tcPr>
            <w:tcW w:w="1455" w:type="dxa"/>
            <w:noWrap/>
            <w:vAlign w:val="center"/>
          </w:tcPr>
          <w:p w:rsidR="00D4483D" w:rsidRPr="007E0B78" w:rsidRDefault="00D4483D" w:rsidP="007E0B78">
            <w:pPr>
              <w:jc w:val="center"/>
              <w:rPr>
                <w:color w:val="000000"/>
              </w:rPr>
            </w:pPr>
            <w:r w:rsidRPr="007E0B78">
              <w:rPr>
                <w:color w:val="000000"/>
                <w:szCs w:val="22"/>
              </w:rPr>
              <w:t>7</w:t>
            </w:r>
          </w:p>
        </w:tc>
      </w:tr>
      <w:tr w:rsidR="00D4483D" w:rsidRPr="007E0B78" w:rsidTr="007E0B78">
        <w:trPr>
          <w:trHeight w:val="236"/>
          <w:jc w:val="center"/>
        </w:trPr>
        <w:tc>
          <w:tcPr>
            <w:tcW w:w="3360" w:type="dxa"/>
            <w:noWrap/>
            <w:vAlign w:val="center"/>
          </w:tcPr>
          <w:p w:rsidR="00D4483D" w:rsidRPr="007E0B78" w:rsidRDefault="00D4483D" w:rsidP="007E0B78">
            <w:pPr>
              <w:rPr>
                <w:color w:val="000000"/>
              </w:rPr>
            </w:pPr>
            <w:r w:rsidRPr="007E0B78">
              <w:rPr>
                <w:color w:val="000000"/>
                <w:szCs w:val="22"/>
              </w:rPr>
              <w:t>Problèmes installation</w:t>
            </w:r>
          </w:p>
        </w:tc>
        <w:tc>
          <w:tcPr>
            <w:tcW w:w="1455" w:type="dxa"/>
            <w:noWrap/>
            <w:vAlign w:val="center"/>
          </w:tcPr>
          <w:p w:rsidR="00D4483D" w:rsidRPr="007E0B78" w:rsidRDefault="00D4483D" w:rsidP="007E0B78">
            <w:pPr>
              <w:jc w:val="center"/>
              <w:rPr>
                <w:color w:val="000000"/>
              </w:rPr>
            </w:pPr>
            <w:r w:rsidRPr="007E0B78">
              <w:rPr>
                <w:color w:val="000000"/>
                <w:szCs w:val="22"/>
              </w:rPr>
              <w:t>19</w:t>
            </w:r>
          </w:p>
        </w:tc>
        <w:tc>
          <w:tcPr>
            <w:tcW w:w="1455" w:type="dxa"/>
            <w:noWrap/>
            <w:vAlign w:val="center"/>
          </w:tcPr>
          <w:p w:rsidR="00D4483D" w:rsidRPr="007E0B78" w:rsidRDefault="00D4483D" w:rsidP="007E0B78">
            <w:pPr>
              <w:jc w:val="center"/>
              <w:rPr>
                <w:color w:val="000000"/>
              </w:rPr>
            </w:pPr>
            <w:r w:rsidRPr="007E0B78">
              <w:rPr>
                <w:color w:val="000000"/>
                <w:szCs w:val="22"/>
              </w:rPr>
              <w:t>30</w:t>
            </w:r>
          </w:p>
        </w:tc>
      </w:tr>
      <w:tr w:rsidR="00D4483D" w:rsidRPr="00707C4E" w:rsidTr="007E0B78">
        <w:trPr>
          <w:trHeight w:val="236"/>
          <w:jc w:val="center"/>
        </w:trPr>
        <w:tc>
          <w:tcPr>
            <w:tcW w:w="3360" w:type="dxa"/>
            <w:noWrap/>
            <w:vAlign w:val="center"/>
          </w:tcPr>
          <w:p w:rsidR="00D4483D" w:rsidRPr="007E0B78" w:rsidRDefault="00D4483D" w:rsidP="007E0B78">
            <w:pPr>
              <w:rPr>
                <w:color w:val="000000"/>
              </w:rPr>
            </w:pPr>
            <w:r w:rsidRPr="007E0B78">
              <w:rPr>
                <w:color w:val="000000"/>
                <w:szCs w:val="22"/>
              </w:rPr>
              <w:t>Autres</w:t>
            </w:r>
          </w:p>
        </w:tc>
        <w:tc>
          <w:tcPr>
            <w:tcW w:w="1455" w:type="dxa"/>
            <w:noWrap/>
            <w:vAlign w:val="center"/>
          </w:tcPr>
          <w:p w:rsidR="00D4483D" w:rsidRPr="007E0B78" w:rsidRDefault="00D4483D" w:rsidP="007E0B78">
            <w:pPr>
              <w:jc w:val="center"/>
              <w:rPr>
                <w:color w:val="000000"/>
              </w:rPr>
            </w:pPr>
            <w:r w:rsidRPr="007E0B78">
              <w:rPr>
                <w:color w:val="000000"/>
                <w:szCs w:val="22"/>
              </w:rPr>
              <w:t>1</w:t>
            </w:r>
          </w:p>
        </w:tc>
        <w:tc>
          <w:tcPr>
            <w:tcW w:w="1455" w:type="dxa"/>
            <w:noWrap/>
            <w:vAlign w:val="center"/>
          </w:tcPr>
          <w:p w:rsidR="00D4483D" w:rsidRPr="007E0B78" w:rsidRDefault="00D4483D" w:rsidP="007E0B78">
            <w:pPr>
              <w:jc w:val="center"/>
              <w:rPr>
                <w:color w:val="000000"/>
              </w:rPr>
            </w:pPr>
            <w:r w:rsidRPr="007E0B78">
              <w:rPr>
                <w:color w:val="000000"/>
                <w:szCs w:val="22"/>
              </w:rPr>
              <w:t>0</w:t>
            </w:r>
          </w:p>
        </w:tc>
      </w:tr>
    </w:tbl>
    <w:p w:rsidR="00D4483D" w:rsidRPr="00707C4E" w:rsidRDefault="00D4483D" w:rsidP="00946EB4">
      <w:pPr>
        <w:jc w:val="both"/>
      </w:pPr>
    </w:p>
    <w:p w:rsidR="00D4483D" w:rsidRPr="00FD5EE5" w:rsidRDefault="00D4483D" w:rsidP="00B03791">
      <w:pPr>
        <w:jc w:val="center"/>
        <w:rPr>
          <w:highlight w:val="yellow"/>
        </w:rPr>
      </w:pPr>
      <w:r w:rsidRPr="00592B84">
        <w:rPr>
          <w:noProof/>
        </w:rPr>
        <w:pict>
          <v:shape id="_x0000_i1035" type="#_x0000_t75" style="width:361.5pt;height:218.25pt;visibility:visible">
            <v:imagedata r:id="rId22" o:title=""/>
          </v:shape>
        </w:pict>
      </w:r>
    </w:p>
    <w:p w:rsidR="00D4483D" w:rsidRPr="00FD5EE5" w:rsidRDefault="00D4483D" w:rsidP="00B03791">
      <w:pPr>
        <w:jc w:val="center"/>
        <w:rPr>
          <w:highlight w:val="yellow"/>
        </w:rPr>
      </w:pPr>
    </w:p>
    <w:p w:rsidR="00D4483D" w:rsidRDefault="00D4483D" w:rsidP="00F20D9D">
      <w:pPr>
        <w:jc w:val="both"/>
      </w:pPr>
      <w:r w:rsidRPr="007E0B78">
        <w:t>Le nombre de réclamations pour fuites est important par rapport au nombre d’abonnés du service. La majeure partie des autres contacts concerne la facturation</w:t>
      </w:r>
      <w:r>
        <w:t xml:space="preserve"> et des problèmes de manque d’eau</w:t>
      </w:r>
      <w:r w:rsidRPr="007E0B78">
        <w:t>. Les informations recensées sont globalement stables.</w:t>
      </w:r>
    </w:p>
    <w:p w:rsidR="00D4483D" w:rsidRDefault="00D4483D" w:rsidP="00F20D9D">
      <w:pPr>
        <w:jc w:val="both"/>
      </w:pPr>
    </w:p>
    <w:p w:rsidR="00D4483D" w:rsidRDefault="00D4483D" w:rsidP="00F20D9D">
      <w:pPr>
        <w:jc w:val="both"/>
      </w:pPr>
    </w:p>
    <w:p w:rsidR="00D4483D" w:rsidRDefault="00D4483D" w:rsidP="00AA5527">
      <w:pPr>
        <w:pStyle w:val="Heading2"/>
        <w:numPr>
          <w:ilvl w:val="1"/>
          <w:numId w:val="6"/>
        </w:numPr>
        <w:jc w:val="both"/>
      </w:pPr>
      <w:bookmarkStart w:id="17" w:name="_Toc367105222"/>
      <w:r>
        <w:t>Déclaration des sources, puits et forages privés et les ouvrages de récupération de pluie</w:t>
      </w:r>
      <w:bookmarkEnd w:id="17"/>
    </w:p>
    <w:p w:rsidR="00D4483D" w:rsidRDefault="00D4483D" w:rsidP="00AA5527">
      <w:pPr>
        <w:jc w:val="both"/>
      </w:pPr>
    </w:p>
    <w:p w:rsidR="00D4483D" w:rsidRDefault="00D4483D" w:rsidP="00AA5527">
      <w:pPr>
        <w:jc w:val="both"/>
      </w:pPr>
      <w:r>
        <w:t xml:space="preserve">L’article L.2224-9 du Code Général des Collectivités territoriales impose à tout usager de déclarer auprès du Maire de sa commune : </w:t>
      </w:r>
    </w:p>
    <w:p w:rsidR="00D4483D" w:rsidRDefault="00D4483D" w:rsidP="00AA5527">
      <w:pPr>
        <w:jc w:val="both"/>
      </w:pPr>
    </w:p>
    <w:p w:rsidR="00D4483D" w:rsidRDefault="00D4483D" w:rsidP="00AA5527">
      <w:pPr>
        <w:pStyle w:val="ListParagraph"/>
        <w:numPr>
          <w:ilvl w:val="0"/>
          <w:numId w:val="30"/>
        </w:numPr>
        <w:jc w:val="both"/>
      </w:pPr>
      <w:r w:rsidRPr="00670DA3">
        <w:rPr>
          <w:u w:val="single"/>
        </w:rPr>
        <w:t>tout prélèvement d’eau, puits et forage réalisés à des fins domestiques</w:t>
      </w:r>
      <w:r>
        <w:t>,</w:t>
      </w:r>
    </w:p>
    <w:p w:rsidR="00D4483D" w:rsidRDefault="00D4483D" w:rsidP="00AA5527">
      <w:pPr>
        <w:pStyle w:val="ListParagraph"/>
        <w:numPr>
          <w:ilvl w:val="0"/>
          <w:numId w:val="30"/>
        </w:numPr>
        <w:jc w:val="both"/>
      </w:pPr>
      <w:r w:rsidRPr="00670DA3">
        <w:rPr>
          <w:u w:val="single"/>
        </w:rPr>
        <w:t>tout dispositif d'utilisation, à des fins domestiques, d'eau de pluie</w:t>
      </w:r>
      <w:r w:rsidRPr="000C577C">
        <w:t xml:space="preserve"> à l'intérieur d'un bâtiment alimenté par un réseau, public ou privé, d'eau destinée à la consommation humaine</w:t>
      </w:r>
      <w:r>
        <w:t>,</w:t>
      </w:r>
    </w:p>
    <w:p w:rsidR="00D4483D" w:rsidRDefault="00D4483D" w:rsidP="00AA5527">
      <w:pPr>
        <w:ind w:left="360"/>
        <w:jc w:val="both"/>
      </w:pPr>
    </w:p>
    <w:p w:rsidR="00D4483D" w:rsidRDefault="00D4483D" w:rsidP="00AA5527">
      <w:pPr>
        <w:jc w:val="both"/>
      </w:pPr>
      <w:r w:rsidRPr="00831C7E">
        <w:t xml:space="preserve">La possibilité d'utiliser de l'eau de pluie pour l'alimentation des toilettes, le lavage des sols et le lavage du linge dans les bâtiments d'habitation ou assimilés </w:t>
      </w:r>
      <w:r>
        <w:t>s’étend</w:t>
      </w:r>
      <w:r w:rsidRPr="00831C7E">
        <w:t xml:space="preserve"> aux établissements recevant du public. Cette utilisation fait</w:t>
      </w:r>
      <w:r>
        <w:t>, de même,</w:t>
      </w:r>
      <w:r w:rsidRPr="00831C7E">
        <w:t xml:space="preserve"> l'objet d'une déclaration préalable au maire de la commune concernée.</w:t>
      </w:r>
    </w:p>
    <w:p w:rsidR="00D4483D" w:rsidRDefault="00D4483D" w:rsidP="00AA5527">
      <w:pPr>
        <w:jc w:val="both"/>
      </w:pPr>
    </w:p>
    <w:p w:rsidR="00D4483D" w:rsidRDefault="00D4483D" w:rsidP="00AA5527">
      <w:pPr>
        <w:jc w:val="both"/>
      </w:pPr>
      <w:r>
        <w:t>Le d</w:t>
      </w:r>
      <w:r w:rsidRPr="000C577C">
        <w:t xml:space="preserve">écret n° 2008-652 du 2 juillet 2008 </w:t>
      </w:r>
      <w:r>
        <w:t>est venu réglementer les conditions d’application de cette réglementation et l’</w:t>
      </w:r>
      <w:r w:rsidRPr="000C577C">
        <w:t xml:space="preserve">arrêté </w:t>
      </w:r>
      <w:r>
        <w:t xml:space="preserve">du 17 décembre 2008 préciser le contenu de la déclaration (dont notamment le nom, l’adresse et la localisation précise de l’ouvrage, les usages auxquels l’eau est destinée, analyse de la qualité de l’eau à fournir par l’usager en cas d’eau destinée à la consommation humaine, obligation d’information du préfet en sus). </w:t>
      </w:r>
    </w:p>
    <w:p w:rsidR="00D4483D" w:rsidRDefault="00D4483D" w:rsidP="00AA5527">
      <w:pPr>
        <w:jc w:val="both"/>
      </w:pPr>
    </w:p>
    <w:p w:rsidR="00D4483D" w:rsidRDefault="00D4483D" w:rsidP="00AA5527">
      <w:pPr>
        <w:spacing w:after="200"/>
        <w:jc w:val="both"/>
      </w:pPr>
      <w:r>
        <w:t xml:space="preserve">De fait, les agents du service d’eau potable sont habilités à effectuer tout contrôle qu’ils jugent nécessaire sur la base de ces déclarations. </w:t>
      </w:r>
    </w:p>
    <w:p w:rsidR="00D4483D" w:rsidRDefault="00D4483D">
      <w:pPr>
        <w:spacing w:after="200"/>
        <w:jc w:val="both"/>
      </w:pPr>
      <w:r>
        <w:t>La Collectivité dispose de la faculté d’inclure les modalités de déclaration ainsi que les modalités de contrôle par le service de ces dispositifs à la fois dans le prochain contrat d’exploitation et le règlement de service à destination des usagers.</w:t>
      </w:r>
      <w:r>
        <w:br w:type="page"/>
      </w:r>
    </w:p>
    <w:p w:rsidR="00D4483D" w:rsidRDefault="00D4483D" w:rsidP="002E6768">
      <w:pPr>
        <w:pStyle w:val="Heading1"/>
        <w:numPr>
          <w:ilvl w:val="0"/>
          <w:numId w:val="6"/>
        </w:numPr>
      </w:pPr>
      <w:bookmarkStart w:id="18" w:name="_Toc367105223"/>
      <w:bookmarkStart w:id="19" w:name="_Toc367105224"/>
      <w:bookmarkEnd w:id="18"/>
      <w:r w:rsidRPr="006D407E">
        <w:t xml:space="preserve">Aspects </w:t>
      </w:r>
      <w:r>
        <w:t>financiers</w:t>
      </w:r>
      <w:bookmarkEnd w:id="19"/>
    </w:p>
    <w:p w:rsidR="00D4483D" w:rsidRDefault="00D4483D"/>
    <w:p w:rsidR="00D4483D" w:rsidRPr="006D407E" w:rsidRDefault="00D4483D" w:rsidP="00380FF6">
      <w:pPr>
        <w:pStyle w:val="Heading2"/>
        <w:numPr>
          <w:ilvl w:val="1"/>
          <w:numId w:val="6"/>
        </w:numPr>
        <w:tabs>
          <w:tab w:val="clear" w:pos="851"/>
          <w:tab w:val="num" w:pos="993"/>
        </w:tabs>
      </w:pPr>
      <w:bookmarkStart w:id="20" w:name="_Toc305078722"/>
      <w:bookmarkStart w:id="21" w:name="_Toc367105225"/>
      <w:r w:rsidRPr="006D407E">
        <w:t>Tarifs de l’eau potable</w:t>
      </w:r>
      <w:bookmarkEnd w:id="20"/>
      <w:bookmarkEnd w:id="21"/>
    </w:p>
    <w:p w:rsidR="00D4483D" w:rsidRDefault="00D4483D" w:rsidP="006D407E">
      <w:bookmarkStart w:id="22" w:name="_Toc305078723"/>
    </w:p>
    <w:p w:rsidR="00D4483D" w:rsidRPr="006D407E" w:rsidRDefault="00D4483D" w:rsidP="00F434FA">
      <w:pPr>
        <w:pStyle w:val="ListParagraph"/>
        <w:numPr>
          <w:ilvl w:val="0"/>
          <w:numId w:val="11"/>
        </w:numPr>
        <w:rPr>
          <w:b/>
          <w:u w:val="single"/>
        </w:rPr>
      </w:pPr>
      <w:r w:rsidRPr="006D407E">
        <w:rPr>
          <w:b/>
          <w:u w:val="single"/>
        </w:rPr>
        <w:t>Structure tarifaire</w:t>
      </w:r>
      <w:bookmarkEnd w:id="22"/>
    </w:p>
    <w:p w:rsidR="00D4483D" w:rsidRDefault="00D4483D" w:rsidP="006D407E"/>
    <w:p w:rsidR="00D4483D" w:rsidRPr="009A2E21" w:rsidRDefault="00D4483D" w:rsidP="006D407E">
      <w:pPr>
        <w:pStyle w:val="Datelettre"/>
        <w:spacing w:after="0"/>
        <w:ind w:left="0" w:right="3"/>
        <w:jc w:val="both"/>
        <w:rPr>
          <w:noProof w:val="0"/>
          <w:sz w:val="24"/>
          <w:lang w:val="fr-FR"/>
        </w:rPr>
      </w:pPr>
      <w:r w:rsidRPr="009A2E21">
        <w:rPr>
          <w:noProof w:val="0"/>
          <w:sz w:val="24"/>
          <w:lang w:val="fr-FR"/>
        </w:rPr>
        <w:t>La structure tarifaire de la part délégataire comprend :</w:t>
      </w:r>
    </w:p>
    <w:p w:rsidR="00D4483D" w:rsidRPr="009A2E21" w:rsidRDefault="00D4483D" w:rsidP="006D407E">
      <w:pPr>
        <w:pStyle w:val="Datelettre"/>
        <w:spacing w:after="0"/>
        <w:ind w:left="0" w:right="3"/>
        <w:jc w:val="both"/>
        <w:rPr>
          <w:noProof w:val="0"/>
          <w:sz w:val="24"/>
          <w:lang w:val="fr-FR"/>
        </w:rPr>
      </w:pPr>
    </w:p>
    <w:p w:rsidR="00D4483D" w:rsidRPr="009A2E21" w:rsidRDefault="00D4483D" w:rsidP="00F434FA">
      <w:pPr>
        <w:pStyle w:val="Datelettre"/>
        <w:numPr>
          <w:ilvl w:val="0"/>
          <w:numId w:val="9"/>
        </w:numPr>
        <w:spacing w:after="0"/>
        <w:ind w:right="3"/>
        <w:jc w:val="both"/>
        <w:rPr>
          <w:noProof w:val="0"/>
          <w:sz w:val="24"/>
          <w:lang w:val="fr-FR"/>
        </w:rPr>
      </w:pPr>
      <w:r w:rsidRPr="009A2E21">
        <w:rPr>
          <w:noProof w:val="0"/>
          <w:sz w:val="24"/>
          <w:lang w:val="fr-FR"/>
        </w:rPr>
        <w:t>une part fixe,</w:t>
      </w:r>
    </w:p>
    <w:p w:rsidR="00D4483D" w:rsidRPr="009A2E21" w:rsidRDefault="00D4483D" w:rsidP="00F434FA">
      <w:pPr>
        <w:pStyle w:val="Datelettre"/>
        <w:numPr>
          <w:ilvl w:val="0"/>
          <w:numId w:val="9"/>
        </w:numPr>
        <w:spacing w:after="0"/>
        <w:ind w:right="3"/>
        <w:jc w:val="both"/>
        <w:rPr>
          <w:noProof w:val="0"/>
          <w:sz w:val="24"/>
          <w:lang w:val="fr-FR"/>
        </w:rPr>
      </w:pPr>
      <w:r w:rsidRPr="009A2E21">
        <w:rPr>
          <w:noProof w:val="0"/>
          <w:sz w:val="24"/>
          <w:lang w:val="fr-FR"/>
        </w:rPr>
        <w:t>une part proportionnelle à la consommation.</w:t>
      </w:r>
    </w:p>
    <w:p w:rsidR="00D4483D" w:rsidRPr="009A2E21" w:rsidRDefault="00D4483D" w:rsidP="006D407E">
      <w:pPr>
        <w:pStyle w:val="Datelettre"/>
        <w:spacing w:after="0"/>
        <w:ind w:left="0" w:right="3"/>
        <w:jc w:val="both"/>
        <w:rPr>
          <w:noProof w:val="0"/>
          <w:sz w:val="24"/>
          <w:lang w:val="fr-FR"/>
        </w:rPr>
      </w:pPr>
    </w:p>
    <w:p w:rsidR="00D4483D" w:rsidRDefault="00D4483D" w:rsidP="006D407E">
      <w:pPr>
        <w:pStyle w:val="Datelettre"/>
        <w:spacing w:after="0"/>
        <w:ind w:left="0" w:right="3"/>
        <w:jc w:val="both"/>
        <w:rPr>
          <w:noProof w:val="0"/>
          <w:sz w:val="24"/>
          <w:lang w:val="fr-FR"/>
        </w:rPr>
      </w:pPr>
      <w:r w:rsidRPr="0054374A">
        <w:rPr>
          <w:noProof w:val="0"/>
          <w:sz w:val="24"/>
          <w:lang w:val="fr-FR"/>
        </w:rPr>
        <w:t xml:space="preserve">La part fixe est définie par diamètre de compteur et la part proportionnelle est </w:t>
      </w:r>
      <w:r>
        <w:rPr>
          <w:noProof w:val="0"/>
          <w:sz w:val="24"/>
          <w:lang w:val="fr-FR"/>
        </w:rPr>
        <w:t>fixée quelle que soit la consommation</w:t>
      </w:r>
      <w:r w:rsidRPr="0054374A">
        <w:rPr>
          <w:noProof w:val="0"/>
          <w:sz w:val="24"/>
          <w:lang w:val="fr-FR"/>
        </w:rPr>
        <w:t>.</w:t>
      </w:r>
    </w:p>
    <w:p w:rsidR="00D4483D" w:rsidRPr="009A2E21" w:rsidRDefault="00D4483D" w:rsidP="006D407E">
      <w:pPr>
        <w:pStyle w:val="Datelettre"/>
        <w:spacing w:after="0"/>
        <w:ind w:left="0" w:right="3"/>
        <w:jc w:val="both"/>
        <w:rPr>
          <w:noProof w:val="0"/>
          <w:sz w:val="24"/>
          <w:lang w:val="fr-FR"/>
        </w:rPr>
      </w:pPr>
    </w:p>
    <w:p w:rsidR="00D4483D" w:rsidRDefault="00D4483D" w:rsidP="006D407E">
      <w:pPr>
        <w:pStyle w:val="ListParagraph"/>
        <w:spacing w:after="120"/>
        <w:ind w:left="0"/>
        <w:rPr>
          <w:kern w:val="32"/>
        </w:rPr>
      </w:pPr>
      <w:r w:rsidRPr="009A2E21">
        <w:rPr>
          <w:kern w:val="32"/>
        </w:rPr>
        <w:t xml:space="preserve">Le choix de la structure tarifaire dépend de plusieurs paramètres contextuels et sociaux : </w:t>
      </w:r>
    </w:p>
    <w:p w:rsidR="00D4483D" w:rsidRPr="009A2E21" w:rsidRDefault="00D4483D" w:rsidP="006D407E">
      <w:pPr>
        <w:pStyle w:val="ListParagraph"/>
        <w:spacing w:after="120"/>
        <w:ind w:left="0"/>
        <w:rPr>
          <w:kern w:val="32"/>
        </w:rPr>
      </w:pPr>
    </w:p>
    <w:p w:rsidR="00D4483D" w:rsidRPr="009A2E21" w:rsidRDefault="00D4483D" w:rsidP="00F434FA">
      <w:pPr>
        <w:pStyle w:val="ListParagraph"/>
        <w:numPr>
          <w:ilvl w:val="0"/>
          <w:numId w:val="8"/>
        </w:numPr>
        <w:spacing w:after="120"/>
        <w:jc w:val="both"/>
        <w:rPr>
          <w:kern w:val="32"/>
        </w:rPr>
      </w:pPr>
      <w:r w:rsidRPr="009A2E21">
        <w:rPr>
          <w:kern w:val="32"/>
        </w:rPr>
        <w:t>Equité des tarifs quelque soit le consommateur ? </w:t>
      </w:r>
    </w:p>
    <w:p w:rsidR="00D4483D" w:rsidRPr="009A2E21" w:rsidRDefault="00D4483D" w:rsidP="00F434FA">
      <w:pPr>
        <w:pStyle w:val="ListParagraph"/>
        <w:numPr>
          <w:ilvl w:val="0"/>
          <w:numId w:val="8"/>
        </w:numPr>
        <w:spacing w:after="120"/>
        <w:jc w:val="both"/>
        <w:rPr>
          <w:kern w:val="32"/>
        </w:rPr>
      </w:pPr>
      <w:r w:rsidRPr="009A2E21">
        <w:rPr>
          <w:kern w:val="32"/>
        </w:rPr>
        <w:t xml:space="preserve">Privilégier le petit ou le gros consommateur (tarification « sociale » et/ou « économique »)? </w:t>
      </w:r>
    </w:p>
    <w:p w:rsidR="00D4483D" w:rsidRPr="009A2E21" w:rsidRDefault="00D4483D" w:rsidP="00F434FA">
      <w:pPr>
        <w:pStyle w:val="ListParagraph"/>
        <w:numPr>
          <w:ilvl w:val="0"/>
          <w:numId w:val="8"/>
        </w:numPr>
        <w:spacing w:after="120"/>
        <w:jc w:val="both"/>
        <w:rPr>
          <w:kern w:val="32"/>
        </w:rPr>
      </w:pPr>
      <w:r w:rsidRPr="009A2E21">
        <w:rPr>
          <w:kern w:val="32"/>
        </w:rPr>
        <w:t>Inciter à l’économie d’eau (progressivité sur les tranches concernant les consommations domestiques ?)</w:t>
      </w:r>
    </w:p>
    <w:p w:rsidR="00D4483D" w:rsidRPr="0054374A" w:rsidRDefault="00D4483D" w:rsidP="00F434FA">
      <w:pPr>
        <w:pStyle w:val="ListParagraph"/>
        <w:numPr>
          <w:ilvl w:val="0"/>
          <w:numId w:val="8"/>
        </w:numPr>
        <w:spacing w:after="120"/>
        <w:jc w:val="both"/>
        <w:rPr>
          <w:kern w:val="32"/>
        </w:rPr>
      </w:pPr>
      <w:r w:rsidRPr="0054374A">
        <w:rPr>
          <w:kern w:val="32"/>
        </w:rPr>
        <w:t>Respect de la réglementation en zone de répartition des eaux.</w:t>
      </w:r>
    </w:p>
    <w:p w:rsidR="00D4483D" w:rsidRPr="009A2E21" w:rsidRDefault="00D4483D" w:rsidP="006D407E">
      <w:pPr>
        <w:pStyle w:val="ListParagraph"/>
        <w:spacing w:after="120"/>
        <w:ind w:left="0"/>
      </w:pPr>
    </w:p>
    <w:p w:rsidR="00D4483D" w:rsidRPr="00A93331" w:rsidRDefault="00D4483D" w:rsidP="008441A1">
      <w:pPr>
        <w:pStyle w:val="ListParagraph"/>
        <w:spacing w:after="120"/>
        <w:ind w:left="0"/>
        <w:jc w:val="both"/>
      </w:pPr>
      <w:r w:rsidRPr="009A2E21">
        <w:t xml:space="preserve">Concernant la part fixe, les tendances actuelles consistent à définir une part fixe par diamètre de compteur progressive visant à faire supporter des charges fixes plus élevées aux abonnés nécessitant des frais fixes </w:t>
      </w:r>
      <w:r w:rsidRPr="00A93331">
        <w:t>de gestion plus importants (coût du compteur ; dimensionnement des réseaux, des stockages et de la production pour le débit de pointe).</w:t>
      </w:r>
    </w:p>
    <w:p w:rsidR="00D4483D" w:rsidRPr="00A93331" w:rsidRDefault="00D4483D" w:rsidP="006D407E"/>
    <w:p w:rsidR="00D4483D" w:rsidRPr="00A93331" w:rsidRDefault="00D4483D" w:rsidP="00F434FA">
      <w:pPr>
        <w:pStyle w:val="ListParagraph"/>
        <w:numPr>
          <w:ilvl w:val="0"/>
          <w:numId w:val="11"/>
        </w:numPr>
        <w:rPr>
          <w:b/>
          <w:u w:val="single"/>
        </w:rPr>
      </w:pPr>
      <w:r>
        <w:rPr>
          <w:b/>
          <w:u w:val="single"/>
        </w:rPr>
        <w:t>P</w:t>
      </w:r>
      <w:r w:rsidRPr="00A93331">
        <w:rPr>
          <w:b/>
          <w:u w:val="single"/>
        </w:rPr>
        <w:t>rix de l’eau potable</w:t>
      </w:r>
    </w:p>
    <w:p w:rsidR="00D4483D" w:rsidRPr="000E0116" w:rsidRDefault="00D4483D" w:rsidP="006D407E">
      <w:pPr>
        <w:pStyle w:val="Datelettre"/>
        <w:spacing w:after="0"/>
        <w:ind w:left="0" w:right="3"/>
        <w:jc w:val="both"/>
        <w:rPr>
          <w:noProof w:val="0"/>
          <w:sz w:val="24"/>
          <w:highlight w:val="yellow"/>
          <w:u w:val="single"/>
          <w:lang w:val="fr-FR"/>
        </w:rPr>
      </w:pPr>
    </w:p>
    <w:p w:rsidR="00D4483D" w:rsidRDefault="00D4483D" w:rsidP="006D407E">
      <w:pPr>
        <w:pStyle w:val="Datelettre"/>
        <w:spacing w:after="0"/>
        <w:ind w:left="0" w:right="3"/>
        <w:jc w:val="both"/>
        <w:rPr>
          <w:noProof w:val="0"/>
          <w:sz w:val="24"/>
          <w:lang w:val="fr-FR"/>
        </w:rPr>
      </w:pPr>
      <w:r w:rsidRPr="00A93331">
        <w:rPr>
          <w:noProof w:val="0"/>
          <w:sz w:val="24"/>
          <w:lang w:val="fr-FR"/>
        </w:rPr>
        <w:t xml:space="preserve">Le prix de </w:t>
      </w:r>
      <w:r>
        <w:rPr>
          <w:noProof w:val="0"/>
          <w:sz w:val="24"/>
          <w:lang w:val="fr-FR"/>
        </w:rPr>
        <w:t xml:space="preserve">la part </w:t>
      </w:r>
      <w:r w:rsidRPr="00A93331">
        <w:rPr>
          <w:noProof w:val="0"/>
          <w:sz w:val="24"/>
          <w:lang w:val="fr-FR"/>
        </w:rPr>
        <w:t>eau potable</w:t>
      </w:r>
      <w:r>
        <w:rPr>
          <w:noProof w:val="0"/>
          <w:sz w:val="24"/>
          <w:lang w:val="fr-FR"/>
        </w:rPr>
        <w:t xml:space="preserve"> au 1</w:t>
      </w:r>
      <w:r w:rsidRPr="00427FDE">
        <w:rPr>
          <w:noProof w:val="0"/>
          <w:sz w:val="24"/>
          <w:vertAlign w:val="superscript"/>
          <w:lang w:val="fr-FR"/>
        </w:rPr>
        <w:t>er</w:t>
      </w:r>
      <w:r>
        <w:rPr>
          <w:noProof w:val="0"/>
          <w:sz w:val="24"/>
          <w:lang w:val="fr-FR"/>
        </w:rPr>
        <w:t xml:space="preserve"> janvier 2013 (y comprispart fixe, base 120 m</w:t>
      </w:r>
      <w:r w:rsidRPr="00427FDE">
        <w:rPr>
          <w:noProof w:val="0"/>
          <w:sz w:val="24"/>
          <w:vertAlign w:val="superscript"/>
          <w:lang w:val="fr-FR"/>
        </w:rPr>
        <w:t>3</w:t>
      </w:r>
      <w:r>
        <w:rPr>
          <w:noProof w:val="0"/>
          <w:sz w:val="24"/>
          <w:lang w:val="fr-FR"/>
        </w:rPr>
        <w:t xml:space="preserve">) </w:t>
      </w:r>
      <w:r w:rsidRPr="00A93331">
        <w:rPr>
          <w:noProof w:val="0"/>
          <w:sz w:val="24"/>
          <w:lang w:val="fr-FR"/>
        </w:rPr>
        <w:t>est le suivant :</w:t>
      </w:r>
    </w:p>
    <w:tbl>
      <w:tblPr>
        <w:tblW w:w="7054" w:type="dxa"/>
        <w:jc w:val="center"/>
        <w:tblBorders>
          <w:top w:val="single" w:sz="8" w:space="0" w:color="7BA0CD"/>
          <w:left w:val="single" w:sz="8" w:space="0" w:color="7BA0CD"/>
          <w:bottom w:val="single" w:sz="8" w:space="0" w:color="7BA0CD"/>
          <w:right w:val="single" w:sz="8" w:space="0" w:color="7BA0CD"/>
          <w:insideH w:val="single" w:sz="8" w:space="0" w:color="7BA0CD"/>
        </w:tblBorders>
        <w:tblLook w:val="00A0"/>
      </w:tblPr>
      <w:tblGrid>
        <w:gridCol w:w="4361"/>
        <w:gridCol w:w="2693"/>
      </w:tblGrid>
      <w:tr w:rsidR="00D4483D" w:rsidRPr="0054374A" w:rsidTr="00EB738F">
        <w:trPr>
          <w:jc w:val="center"/>
        </w:trPr>
        <w:tc>
          <w:tcPr>
            <w:tcW w:w="4361" w:type="dxa"/>
            <w:tcBorders>
              <w:right w:val="nil"/>
            </w:tcBorders>
            <w:shd w:val="clear" w:color="auto" w:fill="4F81BD"/>
          </w:tcPr>
          <w:p w:rsidR="00D4483D" w:rsidRPr="00EB738F" w:rsidRDefault="00D4483D" w:rsidP="00AD04A3">
            <w:pPr>
              <w:rPr>
                <w:b/>
                <w:bCs/>
                <w:color w:val="FFFFFF"/>
                <w:sz w:val="22"/>
                <w:szCs w:val="22"/>
              </w:rPr>
            </w:pPr>
          </w:p>
        </w:tc>
        <w:tc>
          <w:tcPr>
            <w:tcW w:w="2693" w:type="dxa"/>
            <w:tcBorders>
              <w:left w:val="nil"/>
            </w:tcBorders>
            <w:shd w:val="clear" w:color="auto" w:fill="4F81BD"/>
          </w:tcPr>
          <w:p w:rsidR="00D4483D" w:rsidRPr="00EB738F" w:rsidRDefault="00D4483D" w:rsidP="00EB738F">
            <w:pPr>
              <w:jc w:val="center"/>
              <w:rPr>
                <w:b/>
                <w:bCs/>
                <w:color w:val="FFFFFF"/>
                <w:sz w:val="22"/>
                <w:szCs w:val="22"/>
              </w:rPr>
            </w:pPr>
            <w:r w:rsidRPr="00EB738F">
              <w:rPr>
                <w:bCs/>
                <w:color w:val="FFFFFF"/>
                <w:sz w:val="22"/>
                <w:szCs w:val="22"/>
              </w:rPr>
              <w:t>Bois-le-Roi</w:t>
            </w:r>
          </w:p>
        </w:tc>
      </w:tr>
      <w:tr w:rsidR="00D4483D" w:rsidRPr="0054374A" w:rsidTr="00EB738F">
        <w:trPr>
          <w:jc w:val="center"/>
        </w:trPr>
        <w:tc>
          <w:tcPr>
            <w:tcW w:w="4361" w:type="dxa"/>
            <w:tcBorders>
              <w:right w:val="nil"/>
            </w:tcBorders>
            <w:shd w:val="clear" w:color="auto" w:fill="D3DFEE"/>
          </w:tcPr>
          <w:p w:rsidR="00D4483D" w:rsidRPr="00EB738F" w:rsidRDefault="00D4483D" w:rsidP="00AD04A3">
            <w:pPr>
              <w:rPr>
                <w:b/>
                <w:bCs/>
                <w:color w:val="000000"/>
                <w:sz w:val="22"/>
                <w:szCs w:val="22"/>
              </w:rPr>
            </w:pPr>
            <w:r w:rsidRPr="00EB738F">
              <w:rPr>
                <w:b/>
                <w:bCs/>
                <w:color w:val="000000"/>
                <w:sz w:val="22"/>
                <w:szCs w:val="22"/>
              </w:rPr>
              <w:t xml:space="preserve">Part Exploitant </w:t>
            </w:r>
          </w:p>
        </w:tc>
        <w:tc>
          <w:tcPr>
            <w:tcW w:w="2693" w:type="dxa"/>
            <w:tcBorders>
              <w:left w:val="nil"/>
            </w:tcBorders>
            <w:shd w:val="clear" w:color="auto" w:fill="D3DFEE"/>
          </w:tcPr>
          <w:p w:rsidR="00D4483D" w:rsidRPr="00EB738F" w:rsidRDefault="00D4483D" w:rsidP="00EB738F">
            <w:pPr>
              <w:jc w:val="center"/>
              <w:rPr>
                <w:color w:val="000000"/>
                <w:sz w:val="22"/>
                <w:szCs w:val="22"/>
              </w:rPr>
            </w:pPr>
          </w:p>
        </w:tc>
      </w:tr>
      <w:tr w:rsidR="00D4483D" w:rsidRPr="0054374A" w:rsidTr="00EB738F">
        <w:trPr>
          <w:jc w:val="center"/>
        </w:trPr>
        <w:tc>
          <w:tcPr>
            <w:tcW w:w="4361" w:type="dxa"/>
            <w:tcBorders>
              <w:right w:val="nil"/>
            </w:tcBorders>
          </w:tcPr>
          <w:p w:rsidR="00D4483D" w:rsidRPr="00EB738F" w:rsidRDefault="00D4483D" w:rsidP="00AD04A3">
            <w:pPr>
              <w:rPr>
                <w:b/>
                <w:bCs/>
                <w:color w:val="000000"/>
                <w:sz w:val="22"/>
                <w:szCs w:val="22"/>
              </w:rPr>
            </w:pPr>
            <w:r w:rsidRPr="00EB738F">
              <w:rPr>
                <w:bCs/>
                <w:color w:val="000000"/>
                <w:sz w:val="22"/>
                <w:szCs w:val="22"/>
              </w:rPr>
              <w:t>Part fixe (€/an)</w:t>
            </w:r>
          </w:p>
        </w:tc>
        <w:tc>
          <w:tcPr>
            <w:tcW w:w="2693" w:type="dxa"/>
            <w:tcBorders>
              <w:left w:val="nil"/>
            </w:tcBorders>
          </w:tcPr>
          <w:p w:rsidR="00D4483D" w:rsidRPr="00EB738F" w:rsidRDefault="00D4483D" w:rsidP="00EB738F">
            <w:pPr>
              <w:jc w:val="center"/>
              <w:rPr>
                <w:color w:val="000000"/>
                <w:sz w:val="22"/>
                <w:szCs w:val="22"/>
              </w:rPr>
            </w:pPr>
            <w:r w:rsidRPr="00EB738F">
              <w:rPr>
                <w:color w:val="000000"/>
                <w:sz w:val="22"/>
                <w:szCs w:val="22"/>
              </w:rPr>
              <w:t>40,76 €</w:t>
            </w:r>
          </w:p>
        </w:tc>
      </w:tr>
      <w:tr w:rsidR="00D4483D" w:rsidRPr="0054374A" w:rsidTr="00EB738F">
        <w:trPr>
          <w:jc w:val="center"/>
        </w:trPr>
        <w:tc>
          <w:tcPr>
            <w:tcW w:w="4361" w:type="dxa"/>
            <w:tcBorders>
              <w:right w:val="nil"/>
            </w:tcBorders>
            <w:shd w:val="clear" w:color="auto" w:fill="D3DFEE"/>
          </w:tcPr>
          <w:p w:rsidR="00D4483D" w:rsidRPr="00EB738F" w:rsidRDefault="00D4483D" w:rsidP="00AD04A3">
            <w:pPr>
              <w:rPr>
                <w:b/>
                <w:bCs/>
                <w:color w:val="000000"/>
                <w:sz w:val="22"/>
                <w:szCs w:val="22"/>
              </w:rPr>
            </w:pPr>
            <w:r w:rsidRPr="00EB738F">
              <w:rPr>
                <w:bCs/>
                <w:color w:val="000000"/>
                <w:sz w:val="22"/>
                <w:szCs w:val="22"/>
              </w:rPr>
              <w:t>Part à la consommation (€/m3)</w:t>
            </w:r>
          </w:p>
        </w:tc>
        <w:tc>
          <w:tcPr>
            <w:tcW w:w="2693" w:type="dxa"/>
            <w:tcBorders>
              <w:left w:val="nil"/>
            </w:tcBorders>
            <w:shd w:val="clear" w:color="auto" w:fill="D3DFEE"/>
          </w:tcPr>
          <w:p w:rsidR="00D4483D" w:rsidRPr="00EB738F" w:rsidRDefault="00D4483D" w:rsidP="00EB738F">
            <w:pPr>
              <w:jc w:val="center"/>
              <w:rPr>
                <w:color w:val="000000"/>
                <w:sz w:val="22"/>
                <w:szCs w:val="22"/>
              </w:rPr>
            </w:pPr>
            <w:r w:rsidRPr="00EB738F">
              <w:rPr>
                <w:color w:val="000000"/>
                <w:sz w:val="22"/>
                <w:szCs w:val="22"/>
              </w:rPr>
              <w:t>0,77</w:t>
            </w:r>
            <w:r w:rsidRPr="00EB738F">
              <w:rPr>
                <w:color w:val="000000"/>
                <w:sz w:val="18"/>
                <w:szCs w:val="22"/>
              </w:rPr>
              <w:t>87</w:t>
            </w:r>
            <w:r w:rsidRPr="00EB738F">
              <w:rPr>
                <w:color w:val="000000"/>
                <w:sz w:val="22"/>
                <w:szCs w:val="22"/>
              </w:rPr>
              <w:t xml:space="preserve"> €/m</w:t>
            </w:r>
            <w:r w:rsidRPr="00EB738F">
              <w:rPr>
                <w:color w:val="000000"/>
                <w:sz w:val="22"/>
                <w:szCs w:val="22"/>
                <w:vertAlign w:val="superscript"/>
              </w:rPr>
              <w:t>3</w:t>
            </w:r>
          </w:p>
        </w:tc>
      </w:tr>
      <w:tr w:rsidR="00D4483D" w:rsidRPr="0054374A" w:rsidTr="00EB738F">
        <w:trPr>
          <w:jc w:val="center"/>
        </w:trPr>
        <w:tc>
          <w:tcPr>
            <w:tcW w:w="4361" w:type="dxa"/>
            <w:tcBorders>
              <w:right w:val="nil"/>
            </w:tcBorders>
          </w:tcPr>
          <w:p w:rsidR="00D4483D" w:rsidRPr="00EB738F" w:rsidRDefault="00D4483D" w:rsidP="00AD04A3">
            <w:pPr>
              <w:rPr>
                <w:b/>
                <w:bCs/>
                <w:color w:val="000000"/>
                <w:sz w:val="22"/>
                <w:szCs w:val="22"/>
              </w:rPr>
            </w:pPr>
            <w:r w:rsidRPr="00EB738F">
              <w:rPr>
                <w:b/>
                <w:bCs/>
                <w:color w:val="000000"/>
                <w:sz w:val="22"/>
                <w:szCs w:val="22"/>
              </w:rPr>
              <w:t>Part Communale</w:t>
            </w:r>
          </w:p>
        </w:tc>
        <w:tc>
          <w:tcPr>
            <w:tcW w:w="2693" w:type="dxa"/>
            <w:tcBorders>
              <w:left w:val="nil"/>
            </w:tcBorders>
          </w:tcPr>
          <w:p w:rsidR="00D4483D" w:rsidRPr="00EB738F" w:rsidRDefault="00D4483D" w:rsidP="00EB738F">
            <w:pPr>
              <w:jc w:val="center"/>
              <w:rPr>
                <w:color w:val="000000"/>
                <w:sz w:val="22"/>
                <w:szCs w:val="22"/>
              </w:rPr>
            </w:pPr>
          </w:p>
        </w:tc>
      </w:tr>
      <w:tr w:rsidR="00D4483D" w:rsidRPr="0054374A" w:rsidTr="00EB738F">
        <w:trPr>
          <w:jc w:val="center"/>
        </w:trPr>
        <w:tc>
          <w:tcPr>
            <w:tcW w:w="4361" w:type="dxa"/>
            <w:tcBorders>
              <w:right w:val="nil"/>
            </w:tcBorders>
            <w:shd w:val="clear" w:color="auto" w:fill="D3DFEE"/>
          </w:tcPr>
          <w:p w:rsidR="00D4483D" w:rsidRPr="00EB738F" w:rsidRDefault="00D4483D" w:rsidP="00AD04A3">
            <w:pPr>
              <w:rPr>
                <w:b/>
                <w:bCs/>
                <w:color w:val="000000"/>
                <w:sz w:val="22"/>
                <w:szCs w:val="22"/>
              </w:rPr>
            </w:pPr>
            <w:r w:rsidRPr="00EB738F">
              <w:rPr>
                <w:bCs/>
                <w:color w:val="000000"/>
                <w:sz w:val="22"/>
                <w:szCs w:val="22"/>
              </w:rPr>
              <w:t>Part fixe (€/an)</w:t>
            </w:r>
          </w:p>
        </w:tc>
        <w:tc>
          <w:tcPr>
            <w:tcW w:w="2693" w:type="dxa"/>
            <w:tcBorders>
              <w:left w:val="nil"/>
            </w:tcBorders>
            <w:shd w:val="clear" w:color="auto" w:fill="D3DFEE"/>
          </w:tcPr>
          <w:p w:rsidR="00D4483D" w:rsidRPr="00EB738F" w:rsidRDefault="00D4483D" w:rsidP="00EB738F">
            <w:pPr>
              <w:jc w:val="center"/>
              <w:rPr>
                <w:color w:val="000000"/>
                <w:sz w:val="22"/>
                <w:szCs w:val="22"/>
              </w:rPr>
            </w:pPr>
            <w:r w:rsidRPr="00EB738F">
              <w:rPr>
                <w:color w:val="000000"/>
                <w:sz w:val="22"/>
                <w:szCs w:val="22"/>
              </w:rPr>
              <w:t>-</w:t>
            </w:r>
          </w:p>
        </w:tc>
      </w:tr>
      <w:tr w:rsidR="00D4483D" w:rsidRPr="0054374A" w:rsidTr="00EB738F">
        <w:trPr>
          <w:jc w:val="center"/>
        </w:trPr>
        <w:tc>
          <w:tcPr>
            <w:tcW w:w="4361" w:type="dxa"/>
            <w:tcBorders>
              <w:right w:val="nil"/>
            </w:tcBorders>
          </w:tcPr>
          <w:p w:rsidR="00D4483D" w:rsidRPr="00EB738F" w:rsidRDefault="00D4483D" w:rsidP="00AD04A3">
            <w:pPr>
              <w:rPr>
                <w:b/>
                <w:bCs/>
                <w:color w:val="000000"/>
                <w:sz w:val="22"/>
                <w:szCs w:val="22"/>
              </w:rPr>
            </w:pPr>
            <w:r w:rsidRPr="00EB738F">
              <w:rPr>
                <w:bCs/>
                <w:color w:val="000000"/>
                <w:sz w:val="22"/>
                <w:szCs w:val="22"/>
              </w:rPr>
              <w:t>Part à la consommation (€/m</w:t>
            </w:r>
            <w:r w:rsidRPr="00EB738F">
              <w:rPr>
                <w:bCs/>
                <w:color w:val="000000"/>
                <w:sz w:val="22"/>
                <w:szCs w:val="22"/>
                <w:vertAlign w:val="superscript"/>
              </w:rPr>
              <w:t>3</w:t>
            </w:r>
            <w:r w:rsidRPr="00EB738F">
              <w:rPr>
                <w:bCs/>
                <w:color w:val="000000"/>
                <w:sz w:val="22"/>
                <w:szCs w:val="22"/>
              </w:rPr>
              <w:t>)</w:t>
            </w:r>
          </w:p>
        </w:tc>
        <w:tc>
          <w:tcPr>
            <w:tcW w:w="2693" w:type="dxa"/>
            <w:tcBorders>
              <w:left w:val="nil"/>
            </w:tcBorders>
          </w:tcPr>
          <w:p w:rsidR="00D4483D" w:rsidRPr="00EB738F" w:rsidRDefault="00D4483D" w:rsidP="00EB738F">
            <w:pPr>
              <w:jc w:val="center"/>
              <w:rPr>
                <w:color w:val="000000"/>
                <w:sz w:val="22"/>
                <w:szCs w:val="22"/>
              </w:rPr>
            </w:pPr>
            <w:r w:rsidRPr="00EB738F">
              <w:rPr>
                <w:color w:val="000000"/>
                <w:sz w:val="22"/>
                <w:szCs w:val="22"/>
              </w:rPr>
              <w:t>0,48</w:t>
            </w:r>
            <w:r w:rsidRPr="00EB738F">
              <w:rPr>
                <w:color w:val="000000"/>
                <w:sz w:val="18"/>
                <w:szCs w:val="22"/>
              </w:rPr>
              <w:t>77</w:t>
            </w:r>
            <w:r w:rsidRPr="00EB738F">
              <w:rPr>
                <w:color w:val="000000"/>
                <w:sz w:val="22"/>
                <w:szCs w:val="22"/>
              </w:rPr>
              <w:t xml:space="preserve"> €/m</w:t>
            </w:r>
            <w:r w:rsidRPr="00EB738F">
              <w:rPr>
                <w:color w:val="000000"/>
                <w:sz w:val="22"/>
                <w:szCs w:val="22"/>
                <w:vertAlign w:val="superscript"/>
              </w:rPr>
              <w:t>3</w:t>
            </w:r>
          </w:p>
        </w:tc>
      </w:tr>
      <w:tr w:rsidR="00D4483D" w:rsidRPr="0054374A" w:rsidTr="00EB738F">
        <w:trPr>
          <w:jc w:val="center"/>
        </w:trPr>
        <w:tc>
          <w:tcPr>
            <w:tcW w:w="4361" w:type="dxa"/>
            <w:tcBorders>
              <w:right w:val="nil"/>
            </w:tcBorders>
            <w:shd w:val="clear" w:color="auto" w:fill="D3DFEE"/>
          </w:tcPr>
          <w:p w:rsidR="00D4483D" w:rsidRPr="00EB738F" w:rsidRDefault="00D4483D" w:rsidP="00AD04A3">
            <w:pPr>
              <w:rPr>
                <w:b/>
                <w:bCs/>
                <w:i/>
                <w:color w:val="000000"/>
                <w:sz w:val="22"/>
                <w:szCs w:val="22"/>
              </w:rPr>
            </w:pPr>
            <w:r w:rsidRPr="00EB738F">
              <w:rPr>
                <w:b/>
                <w:bCs/>
                <w:color w:val="000000"/>
                <w:sz w:val="22"/>
                <w:szCs w:val="22"/>
              </w:rPr>
              <w:t>Part Agence de l’Eau</w:t>
            </w:r>
          </w:p>
        </w:tc>
        <w:tc>
          <w:tcPr>
            <w:tcW w:w="2693" w:type="dxa"/>
            <w:tcBorders>
              <w:left w:val="nil"/>
            </w:tcBorders>
            <w:shd w:val="clear" w:color="auto" w:fill="D3DFEE"/>
          </w:tcPr>
          <w:p w:rsidR="00D4483D" w:rsidRPr="00EB738F" w:rsidRDefault="00D4483D" w:rsidP="00EB738F">
            <w:pPr>
              <w:jc w:val="center"/>
              <w:rPr>
                <w:i/>
                <w:color w:val="000000"/>
                <w:sz w:val="22"/>
                <w:szCs w:val="22"/>
              </w:rPr>
            </w:pPr>
          </w:p>
        </w:tc>
      </w:tr>
      <w:tr w:rsidR="00D4483D" w:rsidRPr="0054374A" w:rsidTr="00EB738F">
        <w:trPr>
          <w:jc w:val="center"/>
        </w:trPr>
        <w:tc>
          <w:tcPr>
            <w:tcW w:w="4361" w:type="dxa"/>
            <w:tcBorders>
              <w:right w:val="nil"/>
            </w:tcBorders>
          </w:tcPr>
          <w:p w:rsidR="00D4483D" w:rsidRPr="00EB738F" w:rsidRDefault="00D4483D" w:rsidP="00AD04A3">
            <w:pPr>
              <w:rPr>
                <w:b/>
                <w:bCs/>
                <w:color w:val="000000"/>
                <w:sz w:val="22"/>
                <w:szCs w:val="22"/>
              </w:rPr>
            </w:pPr>
            <w:r w:rsidRPr="00EB738F">
              <w:rPr>
                <w:bCs/>
                <w:color w:val="000000"/>
                <w:sz w:val="22"/>
                <w:szCs w:val="22"/>
              </w:rPr>
              <w:t>Préservation des ressources en eau AESN</w:t>
            </w:r>
          </w:p>
        </w:tc>
        <w:tc>
          <w:tcPr>
            <w:tcW w:w="2693" w:type="dxa"/>
            <w:tcBorders>
              <w:left w:val="nil"/>
            </w:tcBorders>
          </w:tcPr>
          <w:p w:rsidR="00D4483D" w:rsidRPr="00EB738F" w:rsidRDefault="00D4483D" w:rsidP="00EB738F">
            <w:pPr>
              <w:jc w:val="center"/>
              <w:rPr>
                <w:color w:val="000000"/>
                <w:sz w:val="22"/>
                <w:szCs w:val="22"/>
              </w:rPr>
            </w:pPr>
            <w:r w:rsidRPr="00EB738F">
              <w:rPr>
                <w:color w:val="000000"/>
                <w:sz w:val="22"/>
                <w:szCs w:val="22"/>
              </w:rPr>
              <w:t>0,07</w:t>
            </w:r>
            <w:r w:rsidRPr="00EB738F">
              <w:rPr>
                <w:color w:val="000000"/>
                <w:sz w:val="18"/>
                <w:szCs w:val="22"/>
              </w:rPr>
              <w:t>34</w:t>
            </w:r>
            <w:r w:rsidRPr="00EB738F">
              <w:rPr>
                <w:color w:val="000000"/>
                <w:sz w:val="22"/>
                <w:szCs w:val="22"/>
              </w:rPr>
              <w:t xml:space="preserve"> €/m</w:t>
            </w:r>
            <w:r w:rsidRPr="00EB738F">
              <w:rPr>
                <w:color w:val="000000"/>
                <w:sz w:val="22"/>
                <w:szCs w:val="22"/>
                <w:vertAlign w:val="superscript"/>
              </w:rPr>
              <w:t>3</w:t>
            </w:r>
          </w:p>
        </w:tc>
      </w:tr>
      <w:tr w:rsidR="00D4483D" w:rsidRPr="0054374A" w:rsidTr="00EB738F">
        <w:trPr>
          <w:jc w:val="center"/>
        </w:trPr>
        <w:tc>
          <w:tcPr>
            <w:tcW w:w="4361" w:type="dxa"/>
            <w:tcBorders>
              <w:right w:val="nil"/>
            </w:tcBorders>
            <w:shd w:val="clear" w:color="auto" w:fill="D3DFEE"/>
          </w:tcPr>
          <w:p w:rsidR="00D4483D" w:rsidRPr="00EB738F" w:rsidRDefault="00D4483D" w:rsidP="00AD04A3">
            <w:pPr>
              <w:rPr>
                <w:b/>
                <w:bCs/>
                <w:color w:val="000000"/>
                <w:sz w:val="22"/>
                <w:szCs w:val="22"/>
              </w:rPr>
            </w:pPr>
            <w:r w:rsidRPr="00EB738F">
              <w:rPr>
                <w:bCs/>
                <w:color w:val="000000"/>
                <w:sz w:val="22"/>
                <w:szCs w:val="22"/>
              </w:rPr>
              <w:t>Lutte contre la pollution AESN</w:t>
            </w:r>
          </w:p>
        </w:tc>
        <w:tc>
          <w:tcPr>
            <w:tcW w:w="2693" w:type="dxa"/>
            <w:tcBorders>
              <w:left w:val="nil"/>
            </w:tcBorders>
            <w:shd w:val="clear" w:color="auto" w:fill="D3DFEE"/>
          </w:tcPr>
          <w:p w:rsidR="00D4483D" w:rsidRPr="00EB738F" w:rsidRDefault="00D4483D" w:rsidP="00EB738F">
            <w:pPr>
              <w:jc w:val="center"/>
              <w:rPr>
                <w:color w:val="000000"/>
                <w:sz w:val="22"/>
                <w:szCs w:val="22"/>
              </w:rPr>
            </w:pPr>
            <w:r w:rsidRPr="00EB738F">
              <w:rPr>
                <w:color w:val="000000"/>
                <w:sz w:val="22"/>
                <w:szCs w:val="22"/>
              </w:rPr>
              <w:t>0,40 €/m</w:t>
            </w:r>
            <w:r w:rsidRPr="00EB738F">
              <w:rPr>
                <w:color w:val="000000"/>
                <w:sz w:val="22"/>
                <w:szCs w:val="22"/>
                <w:vertAlign w:val="superscript"/>
              </w:rPr>
              <w:t>3</w:t>
            </w:r>
          </w:p>
        </w:tc>
      </w:tr>
      <w:tr w:rsidR="00D4483D" w:rsidRPr="0054374A" w:rsidTr="00EB738F">
        <w:trPr>
          <w:jc w:val="center"/>
        </w:trPr>
        <w:tc>
          <w:tcPr>
            <w:tcW w:w="4361" w:type="dxa"/>
            <w:tcBorders>
              <w:right w:val="nil"/>
            </w:tcBorders>
          </w:tcPr>
          <w:p w:rsidR="00D4483D" w:rsidRPr="00EB738F" w:rsidRDefault="00D4483D" w:rsidP="00AD04A3">
            <w:pPr>
              <w:rPr>
                <w:b/>
                <w:bCs/>
                <w:color w:val="000000"/>
                <w:sz w:val="22"/>
                <w:szCs w:val="22"/>
              </w:rPr>
            </w:pPr>
            <w:r w:rsidRPr="00EB738F">
              <w:rPr>
                <w:b/>
                <w:bCs/>
                <w:color w:val="000000"/>
                <w:sz w:val="22"/>
                <w:szCs w:val="22"/>
              </w:rPr>
              <w:t>TVA (5,5 %</w:t>
            </w:r>
            <w:r w:rsidRPr="00EB738F">
              <w:rPr>
                <w:rStyle w:val="FootnoteReference"/>
                <w:b/>
                <w:bCs/>
                <w:sz w:val="22"/>
                <w:szCs w:val="22"/>
              </w:rPr>
              <w:footnoteReference w:id="3"/>
            </w:r>
            <w:r w:rsidRPr="00EB738F">
              <w:rPr>
                <w:b/>
                <w:bCs/>
                <w:color w:val="000000"/>
                <w:sz w:val="22"/>
                <w:szCs w:val="22"/>
              </w:rPr>
              <w:t>)</w:t>
            </w:r>
          </w:p>
        </w:tc>
        <w:tc>
          <w:tcPr>
            <w:tcW w:w="2693" w:type="dxa"/>
            <w:tcBorders>
              <w:left w:val="nil"/>
            </w:tcBorders>
          </w:tcPr>
          <w:p w:rsidR="00D4483D" w:rsidRPr="00EB738F" w:rsidRDefault="00D4483D" w:rsidP="00EB738F">
            <w:pPr>
              <w:jc w:val="center"/>
              <w:rPr>
                <w:color w:val="000000"/>
                <w:sz w:val="22"/>
                <w:szCs w:val="22"/>
              </w:rPr>
            </w:pPr>
            <w:r w:rsidRPr="00EB738F">
              <w:rPr>
                <w:color w:val="000000"/>
                <w:sz w:val="22"/>
                <w:szCs w:val="22"/>
              </w:rPr>
              <w:t>0,09 €/m</w:t>
            </w:r>
            <w:r w:rsidRPr="00EB738F">
              <w:rPr>
                <w:color w:val="000000"/>
                <w:sz w:val="22"/>
                <w:szCs w:val="22"/>
                <w:vertAlign w:val="superscript"/>
              </w:rPr>
              <w:t>3</w:t>
            </w:r>
          </w:p>
        </w:tc>
      </w:tr>
      <w:tr w:rsidR="00D4483D" w:rsidRPr="0054374A" w:rsidTr="00EB738F">
        <w:trPr>
          <w:jc w:val="center"/>
        </w:trPr>
        <w:tc>
          <w:tcPr>
            <w:tcW w:w="4361" w:type="dxa"/>
            <w:tcBorders>
              <w:right w:val="nil"/>
            </w:tcBorders>
            <w:shd w:val="clear" w:color="auto" w:fill="D3DFEE"/>
          </w:tcPr>
          <w:p w:rsidR="00D4483D" w:rsidRPr="00EB738F" w:rsidRDefault="00D4483D" w:rsidP="00AD04A3">
            <w:pPr>
              <w:rPr>
                <w:b/>
                <w:bCs/>
                <w:color w:val="000000"/>
                <w:sz w:val="22"/>
                <w:szCs w:val="22"/>
              </w:rPr>
            </w:pPr>
            <w:r w:rsidRPr="00EB738F">
              <w:rPr>
                <w:b/>
                <w:bCs/>
                <w:color w:val="000000"/>
                <w:sz w:val="22"/>
                <w:szCs w:val="22"/>
              </w:rPr>
              <w:t>Prix de l'eau potable TTC (base 120 m</w:t>
            </w:r>
            <w:r w:rsidRPr="00EB738F">
              <w:rPr>
                <w:b/>
                <w:bCs/>
                <w:color w:val="000000"/>
                <w:sz w:val="22"/>
                <w:szCs w:val="22"/>
                <w:vertAlign w:val="superscript"/>
              </w:rPr>
              <w:t>3</w:t>
            </w:r>
            <w:r w:rsidRPr="00EB738F">
              <w:rPr>
                <w:b/>
                <w:bCs/>
                <w:color w:val="000000"/>
                <w:sz w:val="22"/>
                <w:szCs w:val="22"/>
              </w:rPr>
              <w:t>)</w:t>
            </w:r>
          </w:p>
        </w:tc>
        <w:tc>
          <w:tcPr>
            <w:tcW w:w="2693" w:type="dxa"/>
            <w:tcBorders>
              <w:left w:val="nil"/>
            </w:tcBorders>
            <w:shd w:val="clear" w:color="auto" w:fill="D3DFEE"/>
          </w:tcPr>
          <w:p w:rsidR="00D4483D" w:rsidRPr="00EB738F" w:rsidRDefault="00D4483D" w:rsidP="00EB738F">
            <w:pPr>
              <w:jc w:val="center"/>
              <w:rPr>
                <w:b/>
                <w:color w:val="000000"/>
                <w:sz w:val="22"/>
                <w:szCs w:val="22"/>
              </w:rPr>
            </w:pPr>
            <w:r w:rsidRPr="00EB738F">
              <w:rPr>
                <w:b/>
                <w:color w:val="000000"/>
                <w:sz w:val="22"/>
                <w:szCs w:val="22"/>
              </w:rPr>
              <w:t>2,19 €/m</w:t>
            </w:r>
            <w:r w:rsidRPr="00EB738F">
              <w:rPr>
                <w:b/>
                <w:color w:val="000000"/>
                <w:sz w:val="22"/>
                <w:szCs w:val="22"/>
                <w:vertAlign w:val="superscript"/>
              </w:rPr>
              <w:t>3</w:t>
            </w:r>
          </w:p>
        </w:tc>
      </w:tr>
    </w:tbl>
    <w:p w:rsidR="00D4483D" w:rsidRDefault="00D4483D" w:rsidP="005A7310">
      <w:pPr>
        <w:jc w:val="both"/>
      </w:pPr>
    </w:p>
    <w:p w:rsidR="00D4483D" w:rsidRPr="005A7310" w:rsidRDefault="00D4483D" w:rsidP="005A7310">
      <w:pPr>
        <w:jc w:val="both"/>
      </w:pPr>
      <w:r w:rsidRPr="005A7310">
        <w:t>Les études statistiques disponibles auprès du Service de l’observation et des statistiques de l’ONEMA permettent les comparaisons suivantes :</w:t>
      </w:r>
    </w:p>
    <w:p w:rsidR="00D4483D" w:rsidRPr="005A7310" w:rsidRDefault="00D4483D" w:rsidP="005A7310">
      <w:pPr>
        <w:jc w:val="both"/>
      </w:pPr>
    </w:p>
    <w:tbl>
      <w:tblPr>
        <w:tblW w:w="9632" w:type="dxa"/>
        <w:jc w:val="center"/>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0A0"/>
      </w:tblPr>
      <w:tblGrid>
        <w:gridCol w:w="2545"/>
        <w:gridCol w:w="1558"/>
        <w:gridCol w:w="5529"/>
      </w:tblGrid>
      <w:tr w:rsidR="00D4483D" w:rsidRPr="005A7310" w:rsidTr="005A7310">
        <w:trPr>
          <w:trHeight w:val="67"/>
          <w:jc w:val="center"/>
        </w:trPr>
        <w:tc>
          <w:tcPr>
            <w:tcW w:w="1321" w:type="pct"/>
            <w:tcBorders>
              <w:top w:val="nil"/>
              <w:left w:val="nil"/>
              <w:bottom w:val="nil"/>
            </w:tcBorders>
            <w:vAlign w:val="center"/>
          </w:tcPr>
          <w:p w:rsidR="00D4483D" w:rsidRPr="005A7310" w:rsidRDefault="00D4483D" w:rsidP="00AD04A3">
            <w:pPr>
              <w:rPr>
                <w:b/>
                <w:color w:val="FFFFFF"/>
              </w:rPr>
            </w:pPr>
          </w:p>
        </w:tc>
        <w:tc>
          <w:tcPr>
            <w:tcW w:w="809" w:type="pct"/>
            <w:tcBorders>
              <w:right w:val="single" w:sz="8" w:space="0" w:color="7BA0CD"/>
            </w:tcBorders>
            <w:shd w:val="clear" w:color="auto" w:fill="4F81BD"/>
            <w:vAlign w:val="center"/>
          </w:tcPr>
          <w:p w:rsidR="00D4483D" w:rsidRPr="005A7310" w:rsidRDefault="00D4483D" w:rsidP="00AD04A3">
            <w:pPr>
              <w:jc w:val="center"/>
              <w:rPr>
                <w:b/>
                <w:color w:val="FFFFFF"/>
              </w:rPr>
            </w:pPr>
            <w:r w:rsidRPr="005A7310">
              <w:rPr>
                <w:b/>
                <w:color w:val="FFFFFF"/>
                <w:szCs w:val="22"/>
              </w:rPr>
              <w:t>Année de l’étude</w:t>
            </w:r>
          </w:p>
        </w:tc>
        <w:tc>
          <w:tcPr>
            <w:tcW w:w="2870" w:type="pct"/>
            <w:shd w:val="clear" w:color="auto" w:fill="4F81BD"/>
            <w:vAlign w:val="center"/>
          </w:tcPr>
          <w:p w:rsidR="00D4483D" w:rsidRPr="005A7310" w:rsidRDefault="00D4483D" w:rsidP="00AD04A3">
            <w:pPr>
              <w:jc w:val="center"/>
              <w:rPr>
                <w:b/>
                <w:color w:val="FFFFFF"/>
              </w:rPr>
            </w:pPr>
            <w:r w:rsidRPr="005A7310">
              <w:rPr>
                <w:b/>
                <w:color w:val="FFFFFF"/>
              </w:rPr>
              <w:t>Prix du m</w:t>
            </w:r>
            <w:r w:rsidRPr="005A7310">
              <w:rPr>
                <w:b/>
                <w:color w:val="FFFFFF"/>
                <w:vertAlign w:val="superscript"/>
              </w:rPr>
              <w:t>3</w:t>
            </w:r>
            <w:r w:rsidRPr="005A7310">
              <w:rPr>
                <w:b/>
                <w:color w:val="FFFFFF"/>
              </w:rPr>
              <w:t xml:space="preserve"> en TTC</w:t>
            </w:r>
          </w:p>
          <w:p w:rsidR="00D4483D" w:rsidRPr="005A7310" w:rsidRDefault="00D4483D" w:rsidP="005A7310">
            <w:pPr>
              <w:jc w:val="center"/>
              <w:rPr>
                <w:b/>
                <w:color w:val="FFFFFF"/>
              </w:rPr>
            </w:pPr>
            <w:r w:rsidRPr="005A7310">
              <w:rPr>
                <w:b/>
                <w:color w:val="FFFFFF"/>
              </w:rPr>
              <w:t xml:space="preserve">Selon </w:t>
            </w:r>
            <w:r>
              <w:rPr>
                <w:b/>
                <w:color w:val="FFFFFF"/>
              </w:rPr>
              <w:t>l’</w:t>
            </w:r>
            <w:r w:rsidRPr="005A7310">
              <w:rPr>
                <w:b/>
                <w:color w:val="FFFFFF"/>
              </w:rPr>
              <w:t>année d’étude</w:t>
            </w:r>
          </w:p>
        </w:tc>
      </w:tr>
      <w:tr w:rsidR="00D4483D" w:rsidRPr="005A7310" w:rsidTr="005A7310">
        <w:trPr>
          <w:trHeight w:val="382"/>
          <w:jc w:val="center"/>
        </w:trPr>
        <w:tc>
          <w:tcPr>
            <w:tcW w:w="1321" w:type="pct"/>
            <w:tcBorders>
              <w:right w:val="single" w:sz="8" w:space="0" w:color="7BA0CD"/>
            </w:tcBorders>
            <w:shd w:val="clear" w:color="auto" w:fill="D3DFEE"/>
            <w:vAlign w:val="center"/>
          </w:tcPr>
          <w:p w:rsidR="00D4483D" w:rsidRPr="005A7310" w:rsidRDefault="00D4483D" w:rsidP="00AD04A3">
            <w:pPr>
              <w:rPr>
                <w:b/>
                <w:color w:val="000000"/>
              </w:rPr>
            </w:pPr>
            <w:r w:rsidRPr="005A7310">
              <w:rPr>
                <w:b/>
                <w:color w:val="000000"/>
                <w:szCs w:val="22"/>
              </w:rPr>
              <w:t xml:space="preserve">Seine et Marne </w:t>
            </w:r>
          </w:p>
          <w:p w:rsidR="00D4483D" w:rsidRPr="005A7310" w:rsidRDefault="00D4483D" w:rsidP="00AD04A3">
            <w:pPr>
              <w:rPr>
                <w:b/>
                <w:color w:val="000000"/>
              </w:rPr>
            </w:pPr>
            <w:r w:rsidRPr="005A7310">
              <w:rPr>
                <w:i/>
                <w:color w:val="000000"/>
                <w:sz w:val="20"/>
                <w:szCs w:val="22"/>
              </w:rPr>
              <w:t>Source : observatoire de l’eau Seine et Marne</w:t>
            </w:r>
          </w:p>
        </w:tc>
        <w:tc>
          <w:tcPr>
            <w:tcW w:w="809" w:type="pct"/>
            <w:tcBorders>
              <w:left w:val="single" w:sz="8" w:space="0" w:color="7BA0CD"/>
              <w:right w:val="single" w:sz="8" w:space="0" w:color="7BA0CD"/>
            </w:tcBorders>
            <w:shd w:val="clear" w:color="auto" w:fill="D3DFEE"/>
            <w:vAlign w:val="center"/>
          </w:tcPr>
          <w:p w:rsidR="00D4483D" w:rsidRPr="005A7310" w:rsidRDefault="00D4483D" w:rsidP="00AD04A3">
            <w:pPr>
              <w:jc w:val="center"/>
              <w:rPr>
                <w:color w:val="000000"/>
              </w:rPr>
            </w:pPr>
            <w:r w:rsidRPr="005A7310">
              <w:rPr>
                <w:color w:val="000000"/>
              </w:rPr>
              <w:t>2009</w:t>
            </w:r>
          </w:p>
        </w:tc>
        <w:tc>
          <w:tcPr>
            <w:tcW w:w="2870" w:type="pct"/>
            <w:tcBorders>
              <w:left w:val="single" w:sz="8" w:space="0" w:color="7BA0CD"/>
            </w:tcBorders>
            <w:shd w:val="clear" w:color="auto" w:fill="D3DFEE"/>
            <w:vAlign w:val="center"/>
          </w:tcPr>
          <w:p w:rsidR="00D4483D" w:rsidRPr="005A7310" w:rsidRDefault="00D4483D" w:rsidP="005A7310">
            <w:pPr>
              <w:jc w:val="center"/>
              <w:rPr>
                <w:color w:val="000000"/>
              </w:rPr>
            </w:pPr>
            <w:r w:rsidRPr="005A7310">
              <w:rPr>
                <w:color w:val="000000"/>
              </w:rPr>
              <w:t>2,07</w:t>
            </w:r>
          </w:p>
        </w:tc>
      </w:tr>
      <w:tr w:rsidR="00D4483D" w:rsidRPr="005A7310" w:rsidTr="005A7310">
        <w:trPr>
          <w:trHeight w:val="422"/>
          <w:jc w:val="center"/>
        </w:trPr>
        <w:tc>
          <w:tcPr>
            <w:tcW w:w="1321" w:type="pct"/>
            <w:tcBorders>
              <w:right w:val="single" w:sz="8" w:space="0" w:color="7BA0CD"/>
            </w:tcBorders>
            <w:vAlign w:val="center"/>
          </w:tcPr>
          <w:p w:rsidR="00D4483D" w:rsidRPr="005A7310" w:rsidRDefault="00D4483D" w:rsidP="00AD04A3">
            <w:pPr>
              <w:rPr>
                <w:b/>
                <w:color w:val="000000"/>
              </w:rPr>
            </w:pPr>
            <w:r w:rsidRPr="005A7310">
              <w:rPr>
                <w:b/>
                <w:color w:val="000000"/>
                <w:szCs w:val="22"/>
              </w:rPr>
              <w:t>Région Ile de France</w:t>
            </w:r>
          </w:p>
          <w:p w:rsidR="00D4483D" w:rsidRPr="005A7310" w:rsidRDefault="00D4483D" w:rsidP="00AD04A3">
            <w:pPr>
              <w:rPr>
                <w:b/>
                <w:color w:val="000000"/>
              </w:rPr>
            </w:pPr>
            <w:r w:rsidRPr="005A7310">
              <w:rPr>
                <w:i/>
                <w:color w:val="000000"/>
                <w:sz w:val="20"/>
                <w:szCs w:val="22"/>
              </w:rPr>
              <w:t>Source : service de l’observation et des statistiques</w:t>
            </w:r>
          </w:p>
        </w:tc>
        <w:tc>
          <w:tcPr>
            <w:tcW w:w="809" w:type="pct"/>
            <w:tcBorders>
              <w:left w:val="single" w:sz="8" w:space="0" w:color="7BA0CD"/>
              <w:right w:val="single" w:sz="8" w:space="0" w:color="7BA0CD"/>
            </w:tcBorders>
            <w:vAlign w:val="center"/>
          </w:tcPr>
          <w:p w:rsidR="00D4483D" w:rsidRPr="005A7310" w:rsidRDefault="00D4483D" w:rsidP="00AD04A3">
            <w:pPr>
              <w:jc w:val="center"/>
              <w:rPr>
                <w:color w:val="000000"/>
              </w:rPr>
            </w:pPr>
            <w:r w:rsidRPr="005A7310">
              <w:rPr>
                <w:color w:val="000000"/>
              </w:rPr>
              <w:t>2008</w:t>
            </w:r>
          </w:p>
        </w:tc>
        <w:tc>
          <w:tcPr>
            <w:tcW w:w="2870" w:type="pct"/>
            <w:tcBorders>
              <w:left w:val="single" w:sz="8" w:space="0" w:color="7BA0CD"/>
            </w:tcBorders>
            <w:vAlign w:val="center"/>
          </w:tcPr>
          <w:p w:rsidR="00D4483D" w:rsidRPr="005A7310" w:rsidRDefault="00D4483D" w:rsidP="005A7310">
            <w:pPr>
              <w:jc w:val="center"/>
              <w:rPr>
                <w:color w:val="000000"/>
              </w:rPr>
            </w:pPr>
            <w:r w:rsidRPr="005A7310">
              <w:rPr>
                <w:color w:val="000000"/>
              </w:rPr>
              <w:t>2,04</w:t>
            </w:r>
          </w:p>
        </w:tc>
      </w:tr>
      <w:tr w:rsidR="00D4483D" w:rsidRPr="005A7310" w:rsidTr="005A7310">
        <w:trPr>
          <w:trHeight w:val="428"/>
          <w:jc w:val="center"/>
        </w:trPr>
        <w:tc>
          <w:tcPr>
            <w:tcW w:w="1321" w:type="pct"/>
            <w:tcBorders>
              <w:right w:val="single" w:sz="8" w:space="0" w:color="7BA0CD"/>
            </w:tcBorders>
            <w:shd w:val="clear" w:color="auto" w:fill="D3DFEE"/>
            <w:vAlign w:val="center"/>
          </w:tcPr>
          <w:p w:rsidR="00D4483D" w:rsidRPr="005A7310" w:rsidRDefault="00D4483D" w:rsidP="00AD04A3">
            <w:pPr>
              <w:rPr>
                <w:b/>
                <w:color w:val="000000"/>
              </w:rPr>
            </w:pPr>
            <w:r w:rsidRPr="005A7310">
              <w:rPr>
                <w:b/>
                <w:color w:val="000000"/>
                <w:szCs w:val="22"/>
              </w:rPr>
              <w:t>France entière</w:t>
            </w:r>
          </w:p>
          <w:p w:rsidR="00D4483D" w:rsidRPr="005A7310" w:rsidRDefault="00D4483D" w:rsidP="00AD04A3">
            <w:pPr>
              <w:rPr>
                <w:b/>
                <w:color w:val="000000"/>
              </w:rPr>
            </w:pPr>
            <w:r w:rsidRPr="005A7310">
              <w:rPr>
                <w:i/>
                <w:color w:val="000000"/>
                <w:sz w:val="20"/>
                <w:szCs w:val="22"/>
              </w:rPr>
              <w:t>Source : ONEMA</w:t>
            </w:r>
          </w:p>
        </w:tc>
        <w:tc>
          <w:tcPr>
            <w:tcW w:w="809" w:type="pct"/>
            <w:tcBorders>
              <w:left w:val="single" w:sz="8" w:space="0" w:color="7BA0CD"/>
              <w:right w:val="single" w:sz="8" w:space="0" w:color="7BA0CD"/>
            </w:tcBorders>
            <w:shd w:val="clear" w:color="auto" w:fill="D3DFEE"/>
            <w:vAlign w:val="center"/>
          </w:tcPr>
          <w:p w:rsidR="00D4483D" w:rsidRPr="005A7310" w:rsidRDefault="00D4483D" w:rsidP="00AD04A3">
            <w:pPr>
              <w:jc w:val="center"/>
              <w:rPr>
                <w:color w:val="000000"/>
              </w:rPr>
            </w:pPr>
            <w:r w:rsidRPr="005A7310">
              <w:rPr>
                <w:color w:val="000000"/>
              </w:rPr>
              <w:t>2009</w:t>
            </w:r>
          </w:p>
        </w:tc>
        <w:tc>
          <w:tcPr>
            <w:tcW w:w="2870" w:type="pct"/>
            <w:tcBorders>
              <w:left w:val="single" w:sz="8" w:space="0" w:color="7BA0CD"/>
            </w:tcBorders>
            <w:shd w:val="clear" w:color="auto" w:fill="D3DFEE"/>
            <w:vAlign w:val="center"/>
          </w:tcPr>
          <w:p w:rsidR="00D4483D" w:rsidRPr="005A7310" w:rsidRDefault="00D4483D" w:rsidP="005A7310">
            <w:pPr>
              <w:jc w:val="center"/>
              <w:rPr>
                <w:color w:val="000000"/>
              </w:rPr>
            </w:pPr>
            <w:r w:rsidRPr="005A7310">
              <w:rPr>
                <w:color w:val="000000"/>
              </w:rPr>
              <w:t>1,90</w:t>
            </w:r>
          </w:p>
        </w:tc>
      </w:tr>
    </w:tbl>
    <w:p w:rsidR="00D4483D" w:rsidRPr="005A7310" w:rsidRDefault="00D4483D" w:rsidP="00AA5527">
      <w:pPr>
        <w:jc w:val="both"/>
      </w:pPr>
    </w:p>
    <w:p w:rsidR="00D4483D" w:rsidRPr="005A7310" w:rsidRDefault="00D4483D" w:rsidP="005A7310">
      <w:pPr>
        <w:jc w:val="both"/>
      </w:pPr>
      <w:r>
        <w:t>Compte tenu de l’écart entre les dates de valeur des tarifs, on peut considérer que le prix de l’eau potable sur la commune de Bois le Roi est légèrement supérieur au prix moyen national et légèrement inférieur au prix moyen départemental et régional.</w:t>
      </w:r>
    </w:p>
    <w:p w:rsidR="00D4483D" w:rsidRDefault="00D4483D" w:rsidP="00AA5527">
      <w:pPr>
        <w:jc w:val="both"/>
      </w:pPr>
    </w:p>
    <w:p w:rsidR="00D4483D" w:rsidRPr="005A7310" w:rsidRDefault="00D4483D" w:rsidP="00AA5527">
      <w:pPr>
        <w:jc w:val="both"/>
      </w:pPr>
    </w:p>
    <w:p w:rsidR="00D4483D" w:rsidRPr="006D407E" w:rsidRDefault="00D4483D" w:rsidP="00380FF6">
      <w:pPr>
        <w:pStyle w:val="Heading2"/>
        <w:numPr>
          <w:ilvl w:val="1"/>
          <w:numId w:val="6"/>
        </w:numPr>
        <w:tabs>
          <w:tab w:val="clear" w:pos="851"/>
          <w:tab w:val="num" w:pos="993"/>
        </w:tabs>
      </w:pPr>
      <w:bookmarkStart w:id="23" w:name="_Toc265226080"/>
      <w:bookmarkStart w:id="24" w:name="_Toc367105226"/>
      <w:r w:rsidRPr="006D407E">
        <w:t xml:space="preserve">Analyse de </w:t>
      </w:r>
      <w:r>
        <w:t xml:space="preserve">l’équilibre général </w:t>
      </w:r>
      <w:r w:rsidRPr="006D407E">
        <w:t>du service</w:t>
      </w:r>
      <w:bookmarkEnd w:id="23"/>
      <w:bookmarkEnd w:id="24"/>
    </w:p>
    <w:p w:rsidR="00D4483D" w:rsidRPr="00F518A8" w:rsidRDefault="00D4483D" w:rsidP="00BB1816"/>
    <w:p w:rsidR="00D4483D" w:rsidRPr="00AC1079" w:rsidRDefault="00D4483D" w:rsidP="00F434FA">
      <w:pPr>
        <w:pStyle w:val="ListParagraph"/>
        <w:numPr>
          <w:ilvl w:val="0"/>
          <w:numId w:val="13"/>
        </w:numPr>
        <w:jc w:val="both"/>
        <w:rPr>
          <w:b/>
          <w:u w:val="single"/>
        </w:rPr>
      </w:pPr>
      <w:r w:rsidRPr="00AC1079">
        <w:rPr>
          <w:b/>
          <w:u w:val="single"/>
        </w:rPr>
        <w:t>Evolution du compte annuel de résultat</w:t>
      </w:r>
      <w:r>
        <w:rPr>
          <w:b/>
          <w:u w:val="single"/>
        </w:rPr>
        <w:t>s</w:t>
      </w:r>
      <w:r w:rsidRPr="00AC1079">
        <w:rPr>
          <w:b/>
          <w:u w:val="single"/>
        </w:rPr>
        <w:t xml:space="preserve"> de l’exploitation du délégataire</w:t>
      </w:r>
    </w:p>
    <w:p w:rsidR="00D4483D" w:rsidRDefault="00D4483D" w:rsidP="00BB1816">
      <w:pPr>
        <w:jc w:val="both"/>
      </w:pPr>
    </w:p>
    <w:p w:rsidR="00D4483D" w:rsidRPr="00F518A8" w:rsidRDefault="00D4483D" w:rsidP="00BB1816">
      <w:pPr>
        <w:jc w:val="both"/>
      </w:pPr>
    </w:p>
    <w:tbl>
      <w:tblPr>
        <w:tblW w:w="5000" w:type="pct"/>
        <w:jc w:val="center"/>
        <w:tblLayout w:type="fixed"/>
        <w:tblCellMar>
          <w:left w:w="70" w:type="dxa"/>
          <w:right w:w="70" w:type="dxa"/>
        </w:tblCellMar>
        <w:tblLook w:val="00A0"/>
      </w:tblPr>
      <w:tblGrid>
        <w:gridCol w:w="5315"/>
        <w:gridCol w:w="1299"/>
        <w:gridCol w:w="1299"/>
        <w:gridCol w:w="1299"/>
      </w:tblGrid>
      <w:tr w:rsidR="00D4483D" w:rsidRPr="007C3B55" w:rsidTr="007C3B55">
        <w:trPr>
          <w:trHeight w:val="247"/>
          <w:jc w:val="center"/>
        </w:trPr>
        <w:tc>
          <w:tcPr>
            <w:tcW w:w="2885" w:type="pct"/>
            <w:tcBorders>
              <w:bottom w:val="single" w:sz="4" w:space="0" w:color="auto"/>
              <w:right w:val="single" w:sz="4" w:space="0" w:color="auto"/>
            </w:tcBorders>
            <w:noWrap/>
            <w:vAlign w:val="bottom"/>
          </w:tcPr>
          <w:p w:rsidR="00D4483D" w:rsidRPr="007C3B55" w:rsidRDefault="00D4483D" w:rsidP="00766CA8">
            <w:pPr>
              <w:rPr>
                <w:i/>
                <w:iCs/>
              </w:rPr>
            </w:pPr>
            <w:r w:rsidRPr="007C3B55">
              <w:rPr>
                <w:i/>
                <w:iCs/>
                <w:sz w:val="22"/>
                <w:szCs w:val="22"/>
              </w:rPr>
              <w:t>en €uros</w:t>
            </w:r>
          </w:p>
        </w:tc>
        <w:tc>
          <w:tcPr>
            <w:tcW w:w="705" w:type="pct"/>
            <w:tcBorders>
              <w:top w:val="single" w:sz="4" w:space="0" w:color="auto"/>
              <w:left w:val="single" w:sz="4" w:space="0" w:color="auto"/>
              <w:bottom w:val="single" w:sz="4" w:space="0" w:color="auto"/>
              <w:right w:val="single" w:sz="4" w:space="0" w:color="auto"/>
            </w:tcBorders>
            <w:vAlign w:val="center"/>
          </w:tcPr>
          <w:p w:rsidR="00D4483D" w:rsidRPr="007C3B55" w:rsidRDefault="00D4483D" w:rsidP="007C3B55">
            <w:pPr>
              <w:jc w:val="center"/>
              <w:rPr>
                <w:b/>
              </w:rPr>
            </w:pPr>
            <w:r w:rsidRPr="007C3B55">
              <w:rPr>
                <w:b/>
                <w:sz w:val="22"/>
                <w:szCs w:val="22"/>
              </w:rPr>
              <w:t>2010</w:t>
            </w:r>
          </w:p>
        </w:tc>
        <w:tc>
          <w:tcPr>
            <w:tcW w:w="705" w:type="pct"/>
            <w:tcBorders>
              <w:top w:val="single" w:sz="4" w:space="0" w:color="auto"/>
              <w:left w:val="nil"/>
              <w:bottom w:val="single" w:sz="4" w:space="0" w:color="auto"/>
              <w:right w:val="single" w:sz="4" w:space="0" w:color="auto"/>
            </w:tcBorders>
            <w:noWrap/>
            <w:vAlign w:val="center"/>
          </w:tcPr>
          <w:p w:rsidR="00D4483D" w:rsidRPr="007C3B55" w:rsidRDefault="00D4483D" w:rsidP="007C3B55">
            <w:pPr>
              <w:jc w:val="center"/>
              <w:rPr>
                <w:b/>
              </w:rPr>
            </w:pPr>
            <w:r w:rsidRPr="007C3B55">
              <w:rPr>
                <w:b/>
                <w:sz w:val="22"/>
                <w:szCs w:val="22"/>
              </w:rPr>
              <w:t>2011</w:t>
            </w:r>
          </w:p>
        </w:tc>
        <w:tc>
          <w:tcPr>
            <w:tcW w:w="705" w:type="pct"/>
            <w:tcBorders>
              <w:top w:val="single" w:sz="4" w:space="0" w:color="auto"/>
              <w:left w:val="nil"/>
              <w:bottom w:val="single" w:sz="4" w:space="0" w:color="auto"/>
              <w:right w:val="single" w:sz="4" w:space="0" w:color="auto"/>
            </w:tcBorders>
            <w:noWrap/>
            <w:vAlign w:val="center"/>
          </w:tcPr>
          <w:p w:rsidR="00D4483D" w:rsidRPr="007C3B55" w:rsidRDefault="00D4483D" w:rsidP="007C3B55">
            <w:pPr>
              <w:jc w:val="center"/>
              <w:rPr>
                <w:b/>
              </w:rPr>
            </w:pPr>
            <w:r w:rsidRPr="007C3B55">
              <w:rPr>
                <w:b/>
                <w:sz w:val="22"/>
                <w:szCs w:val="22"/>
              </w:rPr>
              <w:t>2012</w:t>
            </w:r>
          </w:p>
        </w:tc>
      </w:tr>
      <w:tr w:rsidR="00D4483D" w:rsidRPr="007C3B55" w:rsidTr="00AD04A3">
        <w:trPr>
          <w:trHeight w:val="247"/>
          <w:jc w:val="center"/>
        </w:trPr>
        <w:tc>
          <w:tcPr>
            <w:tcW w:w="2885" w:type="pct"/>
            <w:tcBorders>
              <w:top w:val="nil"/>
              <w:left w:val="single" w:sz="4" w:space="0" w:color="auto"/>
              <w:bottom w:val="single" w:sz="4" w:space="0" w:color="auto"/>
              <w:right w:val="single" w:sz="4" w:space="0" w:color="auto"/>
            </w:tcBorders>
            <w:shd w:val="clear" w:color="000000" w:fill="C0C0C0"/>
            <w:noWrap/>
            <w:vAlign w:val="bottom"/>
          </w:tcPr>
          <w:p w:rsidR="00D4483D" w:rsidRPr="007C3B55" w:rsidRDefault="00D4483D" w:rsidP="00766CA8">
            <w:pPr>
              <w:rPr>
                <w:b/>
                <w:bCs/>
              </w:rPr>
            </w:pPr>
            <w:r w:rsidRPr="007C3B55">
              <w:rPr>
                <w:b/>
                <w:bCs/>
                <w:sz w:val="22"/>
                <w:szCs w:val="22"/>
              </w:rPr>
              <w:t>PRODUITS</w:t>
            </w:r>
          </w:p>
        </w:tc>
        <w:tc>
          <w:tcPr>
            <w:tcW w:w="705" w:type="pct"/>
            <w:tcBorders>
              <w:top w:val="single" w:sz="4" w:space="0" w:color="auto"/>
              <w:left w:val="single" w:sz="4" w:space="0" w:color="auto"/>
              <w:bottom w:val="single" w:sz="4" w:space="0" w:color="auto"/>
              <w:right w:val="single" w:sz="4" w:space="0" w:color="auto"/>
            </w:tcBorders>
            <w:shd w:val="clear" w:color="000000" w:fill="C0C0C0"/>
            <w:vAlign w:val="bottom"/>
          </w:tcPr>
          <w:p w:rsidR="00D4483D" w:rsidRPr="00576C60" w:rsidRDefault="00D4483D" w:rsidP="00576C60">
            <w:pPr>
              <w:jc w:val="center"/>
              <w:rPr>
                <w:b/>
              </w:rPr>
            </w:pPr>
            <w:r w:rsidRPr="00576C60">
              <w:rPr>
                <w:b/>
                <w:sz w:val="22"/>
                <w:szCs w:val="22"/>
              </w:rPr>
              <w:t>763 949</w:t>
            </w:r>
          </w:p>
        </w:tc>
        <w:tc>
          <w:tcPr>
            <w:tcW w:w="705" w:type="pct"/>
            <w:tcBorders>
              <w:top w:val="nil"/>
              <w:left w:val="nil"/>
              <w:bottom w:val="single" w:sz="4" w:space="0" w:color="auto"/>
              <w:right w:val="single" w:sz="4" w:space="0" w:color="auto"/>
            </w:tcBorders>
            <w:shd w:val="clear" w:color="000000" w:fill="C0C0C0"/>
            <w:noWrap/>
            <w:vAlign w:val="bottom"/>
          </w:tcPr>
          <w:p w:rsidR="00D4483D" w:rsidRPr="00576C60" w:rsidRDefault="00D4483D" w:rsidP="00576C60">
            <w:pPr>
              <w:jc w:val="center"/>
              <w:rPr>
                <w:b/>
              </w:rPr>
            </w:pPr>
            <w:r w:rsidRPr="00576C60">
              <w:rPr>
                <w:b/>
                <w:sz w:val="22"/>
                <w:szCs w:val="22"/>
              </w:rPr>
              <w:t>659 087</w:t>
            </w:r>
          </w:p>
        </w:tc>
        <w:tc>
          <w:tcPr>
            <w:tcW w:w="705" w:type="pct"/>
            <w:tcBorders>
              <w:top w:val="nil"/>
              <w:left w:val="nil"/>
              <w:bottom w:val="single" w:sz="4" w:space="0" w:color="auto"/>
              <w:right w:val="single" w:sz="4" w:space="0" w:color="auto"/>
            </w:tcBorders>
            <w:shd w:val="clear" w:color="000000" w:fill="C0C0C0"/>
            <w:noWrap/>
            <w:vAlign w:val="bottom"/>
          </w:tcPr>
          <w:p w:rsidR="00D4483D" w:rsidRPr="00576C60" w:rsidRDefault="00D4483D" w:rsidP="00576C60">
            <w:pPr>
              <w:jc w:val="center"/>
              <w:rPr>
                <w:b/>
              </w:rPr>
            </w:pPr>
            <w:r w:rsidRPr="00576C60">
              <w:rPr>
                <w:b/>
                <w:sz w:val="22"/>
                <w:szCs w:val="22"/>
              </w:rPr>
              <w:t>649 007</w:t>
            </w:r>
          </w:p>
        </w:tc>
      </w:tr>
      <w:tr w:rsidR="00D4483D" w:rsidRPr="007C3B55" w:rsidTr="007C3B55">
        <w:trPr>
          <w:trHeight w:val="247"/>
          <w:jc w:val="center"/>
        </w:trPr>
        <w:tc>
          <w:tcPr>
            <w:tcW w:w="2885" w:type="pct"/>
            <w:tcBorders>
              <w:top w:val="nil"/>
              <w:left w:val="single" w:sz="4" w:space="0" w:color="auto"/>
              <w:bottom w:val="single" w:sz="4" w:space="0" w:color="auto"/>
              <w:right w:val="single" w:sz="4" w:space="0" w:color="auto"/>
            </w:tcBorders>
            <w:shd w:val="clear" w:color="auto" w:fill="D9D9D9"/>
            <w:noWrap/>
            <w:vAlign w:val="bottom"/>
          </w:tcPr>
          <w:p w:rsidR="00D4483D" w:rsidRPr="007C3B55" w:rsidRDefault="00D4483D" w:rsidP="00766CA8">
            <w:pPr>
              <w:rPr>
                <w:b/>
                <w:bCs/>
              </w:rPr>
            </w:pPr>
            <w:r w:rsidRPr="007C3B55">
              <w:rPr>
                <w:b/>
                <w:bCs/>
                <w:sz w:val="22"/>
                <w:szCs w:val="22"/>
              </w:rPr>
              <w:t>PRODUITS HORS TIERS</w:t>
            </w:r>
          </w:p>
        </w:tc>
        <w:tc>
          <w:tcPr>
            <w:tcW w:w="705" w:type="pct"/>
            <w:tcBorders>
              <w:top w:val="single" w:sz="4" w:space="0" w:color="auto"/>
              <w:left w:val="single" w:sz="4" w:space="0" w:color="auto"/>
              <w:bottom w:val="single" w:sz="4" w:space="0" w:color="auto"/>
              <w:right w:val="single" w:sz="4" w:space="0" w:color="auto"/>
            </w:tcBorders>
            <w:shd w:val="clear" w:color="auto" w:fill="D9D9D9"/>
            <w:vAlign w:val="center"/>
          </w:tcPr>
          <w:p w:rsidR="00D4483D" w:rsidRPr="007C3B55" w:rsidRDefault="00D4483D" w:rsidP="007C3B55">
            <w:pPr>
              <w:jc w:val="center"/>
              <w:rPr>
                <w:b/>
              </w:rPr>
            </w:pPr>
            <w:r w:rsidRPr="007C3B55">
              <w:rPr>
                <w:b/>
                <w:sz w:val="22"/>
                <w:szCs w:val="22"/>
              </w:rPr>
              <w:t>385 907</w:t>
            </w:r>
          </w:p>
        </w:tc>
        <w:tc>
          <w:tcPr>
            <w:tcW w:w="705" w:type="pct"/>
            <w:tcBorders>
              <w:top w:val="nil"/>
              <w:left w:val="nil"/>
              <w:bottom w:val="single" w:sz="4" w:space="0" w:color="auto"/>
              <w:right w:val="single" w:sz="4" w:space="0" w:color="auto"/>
            </w:tcBorders>
            <w:shd w:val="clear" w:color="auto" w:fill="D9D9D9"/>
            <w:noWrap/>
            <w:vAlign w:val="center"/>
          </w:tcPr>
          <w:p w:rsidR="00D4483D" w:rsidRPr="007C3B55" w:rsidRDefault="00D4483D" w:rsidP="007C3B55">
            <w:pPr>
              <w:jc w:val="center"/>
              <w:rPr>
                <w:b/>
              </w:rPr>
            </w:pPr>
            <w:r w:rsidRPr="007C3B55">
              <w:rPr>
                <w:b/>
                <w:sz w:val="22"/>
                <w:szCs w:val="22"/>
              </w:rPr>
              <w:t>389 208</w:t>
            </w:r>
          </w:p>
        </w:tc>
        <w:tc>
          <w:tcPr>
            <w:tcW w:w="705" w:type="pct"/>
            <w:tcBorders>
              <w:top w:val="nil"/>
              <w:left w:val="nil"/>
              <w:bottom w:val="single" w:sz="4" w:space="0" w:color="auto"/>
              <w:right w:val="single" w:sz="4" w:space="0" w:color="auto"/>
            </w:tcBorders>
            <w:shd w:val="clear" w:color="auto" w:fill="D9D9D9"/>
            <w:noWrap/>
            <w:vAlign w:val="center"/>
          </w:tcPr>
          <w:p w:rsidR="00D4483D" w:rsidRPr="007C3B55" w:rsidRDefault="00D4483D" w:rsidP="007C3B55">
            <w:pPr>
              <w:jc w:val="center"/>
              <w:rPr>
                <w:b/>
              </w:rPr>
            </w:pPr>
            <w:r w:rsidRPr="007C3B55">
              <w:rPr>
                <w:b/>
                <w:sz w:val="22"/>
                <w:szCs w:val="22"/>
              </w:rPr>
              <w:t>376 846</w:t>
            </w:r>
          </w:p>
        </w:tc>
      </w:tr>
      <w:tr w:rsidR="00D4483D" w:rsidRPr="007C3B55" w:rsidTr="007C3B55">
        <w:trPr>
          <w:trHeight w:val="247"/>
          <w:jc w:val="center"/>
        </w:trPr>
        <w:tc>
          <w:tcPr>
            <w:tcW w:w="2885" w:type="pct"/>
            <w:tcBorders>
              <w:top w:val="nil"/>
              <w:left w:val="single" w:sz="4" w:space="0" w:color="auto"/>
              <w:bottom w:val="single" w:sz="4" w:space="0" w:color="auto"/>
              <w:right w:val="single" w:sz="4" w:space="0" w:color="auto"/>
            </w:tcBorders>
            <w:noWrap/>
            <w:vAlign w:val="bottom"/>
          </w:tcPr>
          <w:p w:rsidR="00D4483D" w:rsidRPr="007C3B55" w:rsidRDefault="00D4483D" w:rsidP="00766CA8">
            <w:r w:rsidRPr="007C3B55">
              <w:rPr>
                <w:sz w:val="22"/>
                <w:szCs w:val="22"/>
              </w:rPr>
              <w:t xml:space="preserve">  Exploitation du service </w:t>
            </w:r>
          </w:p>
        </w:tc>
        <w:tc>
          <w:tcPr>
            <w:tcW w:w="705" w:type="pct"/>
            <w:tcBorders>
              <w:top w:val="single" w:sz="4" w:space="0" w:color="auto"/>
              <w:left w:val="single" w:sz="4" w:space="0" w:color="auto"/>
              <w:bottom w:val="single" w:sz="4" w:space="0" w:color="auto"/>
              <w:right w:val="single" w:sz="4" w:space="0" w:color="auto"/>
            </w:tcBorders>
            <w:vAlign w:val="center"/>
          </w:tcPr>
          <w:p w:rsidR="00D4483D" w:rsidRPr="007C3B55" w:rsidRDefault="00D4483D" w:rsidP="007C3B55">
            <w:pPr>
              <w:jc w:val="center"/>
            </w:pPr>
            <w:r w:rsidRPr="007C3B55">
              <w:rPr>
                <w:sz w:val="22"/>
                <w:szCs w:val="22"/>
              </w:rPr>
              <w:t>343 055</w:t>
            </w:r>
          </w:p>
        </w:tc>
        <w:tc>
          <w:tcPr>
            <w:tcW w:w="705" w:type="pct"/>
            <w:tcBorders>
              <w:top w:val="nil"/>
              <w:left w:val="nil"/>
              <w:bottom w:val="single" w:sz="4" w:space="0" w:color="auto"/>
              <w:right w:val="single" w:sz="4" w:space="0" w:color="auto"/>
            </w:tcBorders>
            <w:noWrap/>
            <w:vAlign w:val="center"/>
          </w:tcPr>
          <w:p w:rsidR="00D4483D" w:rsidRPr="007C3B55" w:rsidRDefault="00D4483D" w:rsidP="007C3B55">
            <w:pPr>
              <w:jc w:val="center"/>
            </w:pPr>
            <w:r w:rsidRPr="007C3B55">
              <w:rPr>
                <w:sz w:val="22"/>
                <w:szCs w:val="22"/>
              </w:rPr>
              <w:t>330 772</w:t>
            </w:r>
          </w:p>
        </w:tc>
        <w:tc>
          <w:tcPr>
            <w:tcW w:w="705" w:type="pct"/>
            <w:tcBorders>
              <w:top w:val="nil"/>
              <w:left w:val="nil"/>
              <w:bottom w:val="single" w:sz="4" w:space="0" w:color="auto"/>
              <w:right w:val="single" w:sz="4" w:space="0" w:color="auto"/>
            </w:tcBorders>
            <w:noWrap/>
            <w:vAlign w:val="center"/>
          </w:tcPr>
          <w:p w:rsidR="00D4483D" w:rsidRPr="007C3B55" w:rsidRDefault="00D4483D" w:rsidP="007C3B55">
            <w:pPr>
              <w:jc w:val="center"/>
            </w:pPr>
            <w:r w:rsidRPr="007C3B55">
              <w:rPr>
                <w:sz w:val="22"/>
                <w:szCs w:val="22"/>
              </w:rPr>
              <w:t>343 494</w:t>
            </w:r>
          </w:p>
        </w:tc>
      </w:tr>
      <w:tr w:rsidR="00D4483D" w:rsidRPr="007C3B55" w:rsidTr="007C3B55">
        <w:trPr>
          <w:trHeight w:val="247"/>
          <w:jc w:val="center"/>
        </w:trPr>
        <w:tc>
          <w:tcPr>
            <w:tcW w:w="2885" w:type="pct"/>
            <w:tcBorders>
              <w:top w:val="nil"/>
              <w:left w:val="single" w:sz="4" w:space="0" w:color="auto"/>
              <w:bottom w:val="single" w:sz="4" w:space="0" w:color="auto"/>
              <w:right w:val="single" w:sz="4" w:space="0" w:color="auto"/>
            </w:tcBorders>
            <w:noWrap/>
            <w:vAlign w:val="bottom"/>
          </w:tcPr>
          <w:p w:rsidR="00D4483D" w:rsidRPr="007C3B55" w:rsidRDefault="00D4483D" w:rsidP="00766CA8">
            <w:r w:rsidRPr="007C3B55">
              <w:rPr>
                <w:sz w:val="22"/>
                <w:szCs w:val="22"/>
              </w:rPr>
              <w:t xml:space="preserve">  Collectivités et autres organismes publics</w:t>
            </w:r>
          </w:p>
        </w:tc>
        <w:tc>
          <w:tcPr>
            <w:tcW w:w="705" w:type="pct"/>
            <w:tcBorders>
              <w:top w:val="single" w:sz="4" w:space="0" w:color="auto"/>
              <w:left w:val="single" w:sz="4" w:space="0" w:color="auto"/>
              <w:bottom w:val="single" w:sz="4" w:space="0" w:color="auto"/>
              <w:right w:val="single" w:sz="4" w:space="0" w:color="auto"/>
            </w:tcBorders>
            <w:vAlign w:val="center"/>
          </w:tcPr>
          <w:p w:rsidR="00D4483D" w:rsidRPr="007C3B55" w:rsidRDefault="00D4483D" w:rsidP="007C3B55">
            <w:pPr>
              <w:jc w:val="center"/>
            </w:pPr>
            <w:r w:rsidRPr="007C3B55">
              <w:rPr>
                <w:sz w:val="22"/>
                <w:szCs w:val="22"/>
              </w:rPr>
              <w:t>378 042</w:t>
            </w:r>
          </w:p>
        </w:tc>
        <w:tc>
          <w:tcPr>
            <w:tcW w:w="705" w:type="pct"/>
            <w:tcBorders>
              <w:top w:val="nil"/>
              <w:left w:val="nil"/>
              <w:bottom w:val="single" w:sz="4" w:space="0" w:color="auto"/>
              <w:right w:val="single" w:sz="4" w:space="0" w:color="auto"/>
            </w:tcBorders>
            <w:noWrap/>
            <w:vAlign w:val="center"/>
          </w:tcPr>
          <w:p w:rsidR="00D4483D" w:rsidRPr="007C3B55" w:rsidRDefault="00D4483D" w:rsidP="007C3B55">
            <w:pPr>
              <w:jc w:val="center"/>
            </w:pPr>
            <w:r w:rsidRPr="007C3B55">
              <w:rPr>
                <w:sz w:val="22"/>
                <w:szCs w:val="22"/>
              </w:rPr>
              <w:t>269 879</w:t>
            </w:r>
          </w:p>
        </w:tc>
        <w:tc>
          <w:tcPr>
            <w:tcW w:w="705" w:type="pct"/>
            <w:tcBorders>
              <w:top w:val="nil"/>
              <w:left w:val="nil"/>
              <w:bottom w:val="single" w:sz="4" w:space="0" w:color="auto"/>
              <w:right w:val="single" w:sz="4" w:space="0" w:color="auto"/>
            </w:tcBorders>
            <w:noWrap/>
            <w:vAlign w:val="center"/>
          </w:tcPr>
          <w:p w:rsidR="00D4483D" w:rsidRPr="007C3B55" w:rsidRDefault="00D4483D" w:rsidP="007C3B55">
            <w:pPr>
              <w:jc w:val="center"/>
            </w:pPr>
            <w:r w:rsidRPr="007C3B55">
              <w:rPr>
                <w:sz w:val="22"/>
                <w:szCs w:val="22"/>
              </w:rPr>
              <w:t>272 161</w:t>
            </w:r>
          </w:p>
        </w:tc>
      </w:tr>
      <w:tr w:rsidR="00D4483D" w:rsidRPr="007C3B55" w:rsidTr="007C3B55">
        <w:trPr>
          <w:trHeight w:val="247"/>
          <w:jc w:val="center"/>
        </w:trPr>
        <w:tc>
          <w:tcPr>
            <w:tcW w:w="2885" w:type="pct"/>
            <w:tcBorders>
              <w:top w:val="nil"/>
              <w:left w:val="single" w:sz="4" w:space="0" w:color="auto"/>
              <w:bottom w:val="single" w:sz="4" w:space="0" w:color="auto"/>
              <w:right w:val="single" w:sz="4" w:space="0" w:color="auto"/>
            </w:tcBorders>
            <w:noWrap/>
            <w:vAlign w:val="bottom"/>
          </w:tcPr>
          <w:p w:rsidR="00D4483D" w:rsidRPr="007C3B55" w:rsidRDefault="00D4483D" w:rsidP="00766CA8">
            <w:r w:rsidRPr="007C3B55">
              <w:rPr>
                <w:sz w:val="22"/>
                <w:szCs w:val="22"/>
              </w:rPr>
              <w:t xml:space="preserve">  Travaux attribués à titre exclusif</w:t>
            </w:r>
          </w:p>
        </w:tc>
        <w:tc>
          <w:tcPr>
            <w:tcW w:w="705" w:type="pct"/>
            <w:tcBorders>
              <w:top w:val="single" w:sz="4" w:space="0" w:color="auto"/>
              <w:left w:val="single" w:sz="4" w:space="0" w:color="auto"/>
              <w:bottom w:val="single" w:sz="4" w:space="0" w:color="auto"/>
              <w:right w:val="single" w:sz="4" w:space="0" w:color="auto"/>
            </w:tcBorders>
            <w:vAlign w:val="center"/>
          </w:tcPr>
          <w:p w:rsidR="00D4483D" w:rsidRPr="007C3B55" w:rsidRDefault="00D4483D" w:rsidP="007C3B55">
            <w:pPr>
              <w:jc w:val="center"/>
            </w:pPr>
            <w:r w:rsidRPr="007C3B55">
              <w:rPr>
                <w:sz w:val="22"/>
                <w:szCs w:val="22"/>
              </w:rPr>
              <w:t>27 302</w:t>
            </w:r>
          </w:p>
        </w:tc>
        <w:tc>
          <w:tcPr>
            <w:tcW w:w="705" w:type="pct"/>
            <w:tcBorders>
              <w:top w:val="nil"/>
              <w:left w:val="nil"/>
              <w:bottom w:val="single" w:sz="4" w:space="0" w:color="auto"/>
              <w:right w:val="single" w:sz="4" w:space="0" w:color="auto"/>
            </w:tcBorders>
            <w:noWrap/>
            <w:vAlign w:val="center"/>
          </w:tcPr>
          <w:p w:rsidR="00D4483D" w:rsidRPr="007C3B55" w:rsidRDefault="00D4483D" w:rsidP="007C3B55">
            <w:pPr>
              <w:jc w:val="center"/>
            </w:pPr>
            <w:r w:rsidRPr="007C3B55">
              <w:rPr>
                <w:sz w:val="22"/>
                <w:szCs w:val="22"/>
              </w:rPr>
              <w:t>34 195</w:t>
            </w:r>
          </w:p>
        </w:tc>
        <w:tc>
          <w:tcPr>
            <w:tcW w:w="705" w:type="pct"/>
            <w:tcBorders>
              <w:top w:val="nil"/>
              <w:left w:val="nil"/>
              <w:bottom w:val="single" w:sz="4" w:space="0" w:color="auto"/>
              <w:right w:val="single" w:sz="4" w:space="0" w:color="auto"/>
            </w:tcBorders>
            <w:noWrap/>
            <w:vAlign w:val="center"/>
          </w:tcPr>
          <w:p w:rsidR="00D4483D" w:rsidRPr="007C3B55" w:rsidRDefault="00D4483D" w:rsidP="007C3B55">
            <w:pPr>
              <w:jc w:val="center"/>
            </w:pPr>
            <w:r w:rsidRPr="007C3B55">
              <w:rPr>
                <w:sz w:val="22"/>
                <w:szCs w:val="22"/>
              </w:rPr>
              <w:t>22 786</w:t>
            </w:r>
          </w:p>
        </w:tc>
      </w:tr>
      <w:tr w:rsidR="00D4483D" w:rsidRPr="007C3B55" w:rsidTr="007C3B55">
        <w:trPr>
          <w:trHeight w:val="247"/>
          <w:jc w:val="center"/>
        </w:trPr>
        <w:tc>
          <w:tcPr>
            <w:tcW w:w="2885" w:type="pct"/>
            <w:tcBorders>
              <w:top w:val="nil"/>
              <w:left w:val="single" w:sz="4" w:space="0" w:color="auto"/>
              <w:bottom w:val="single" w:sz="4" w:space="0" w:color="auto"/>
              <w:right w:val="single" w:sz="4" w:space="0" w:color="auto"/>
            </w:tcBorders>
            <w:noWrap/>
            <w:vAlign w:val="bottom"/>
          </w:tcPr>
          <w:p w:rsidR="00D4483D" w:rsidRPr="007C3B55" w:rsidRDefault="00D4483D" w:rsidP="00766CA8">
            <w:r w:rsidRPr="007C3B55">
              <w:rPr>
                <w:sz w:val="22"/>
                <w:szCs w:val="22"/>
              </w:rPr>
              <w:t xml:space="preserve">  Produits accessoires</w:t>
            </w:r>
          </w:p>
        </w:tc>
        <w:tc>
          <w:tcPr>
            <w:tcW w:w="705" w:type="pct"/>
            <w:tcBorders>
              <w:top w:val="single" w:sz="4" w:space="0" w:color="auto"/>
              <w:left w:val="single" w:sz="4" w:space="0" w:color="auto"/>
              <w:bottom w:val="single" w:sz="4" w:space="0" w:color="auto"/>
              <w:right w:val="single" w:sz="4" w:space="0" w:color="auto"/>
            </w:tcBorders>
            <w:vAlign w:val="center"/>
          </w:tcPr>
          <w:p w:rsidR="00D4483D" w:rsidRPr="007C3B55" w:rsidRDefault="00D4483D" w:rsidP="007C3B55">
            <w:pPr>
              <w:jc w:val="center"/>
            </w:pPr>
            <w:r w:rsidRPr="007C3B55">
              <w:rPr>
                <w:sz w:val="22"/>
                <w:szCs w:val="22"/>
              </w:rPr>
              <w:t>15 550</w:t>
            </w:r>
          </w:p>
        </w:tc>
        <w:tc>
          <w:tcPr>
            <w:tcW w:w="705" w:type="pct"/>
            <w:tcBorders>
              <w:top w:val="nil"/>
              <w:left w:val="nil"/>
              <w:bottom w:val="single" w:sz="4" w:space="0" w:color="auto"/>
              <w:right w:val="single" w:sz="4" w:space="0" w:color="auto"/>
            </w:tcBorders>
            <w:noWrap/>
            <w:vAlign w:val="center"/>
          </w:tcPr>
          <w:p w:rsidR="00D4483D" w:rsidRPr="007C3B55" w:rsidRDefault="00D4483D" w:rsidP="007C3B55">
            <w:pPr>
              <w:jc w:val="center"/>
            </w:pPr>
            <w:r w:rsidRPr="007C3B55">
              <w:rPr>
                <w:sz w:val="22"/>
                <w:szCs w:val="22"/>
              </w:rPr>
              <w:t>24 241</w:t>
            </w:r>
          </w:p>
        </w:tc>
        <w:tc>
          <w:tcPr>
            <w:tcW w:w="705" w:type="pct"/>
            <w:tcBorders>
              <w:top w:val="nil"/>
              <w:left w:val="nil"/>
              <w:bottom w:val="single" w:sz="4" w:space="0" w:color="auto"/>
              <w:right w:val="single" w:sz="4" w:space="0" w:color="auto"/>
            </w:tcBorders>
            <w:noWrap/>
            <w:vAlign w:val="center"/>
          </w:tcPr>
          <w:p w:rsidR="00D4483D" w:rsidRPr="007C3B55" w:rsidRDefault="00D4483D" w:rsidP="007C3B55">
            <w:pPr>
              <w:jc w:val="center"/>
            </w:pPr>
            <w:r w:rsidRPr="007C3B55">
              <w:rPr>
                <w:sz w:val="22"/>
                <w:szCs w:val="22"/>
              </w:rPr>
              <w:t>10 566</w:t>
            </w:r>
          </w:p>
        </w:tc>
      </w:tr>
      <w:tr w:rsidR="00D4483D" w:rsidRPr="007C3B55" w:rsidTr="007C3B55">
        <w:trPr>
          <w:trHeight w:val="247"/>
          <w:jc w:val="center"/>
        </w:trPr>
        <w:tc>
          <w:tcPr>
            <w:tcW w:w="2885" w:type="pct"/>
            <w:tcBorders>
              <w:top w:val="nil"/>
              <w:left w:val="single" w:sz="4" w:space="0" w:color="auto"/>
              <w:bottom w:val="single" w:sz="4" w:space="0" w:color="auto"/>
              <w:right w:val="single" w:sz="4" w:space="0" w:color="auto"/>
            </w:tcBorders>
            <w:noWrap/>
            <w:vAlign w:val="bottom"/>
          </w:tcPr>
          <w:p w:rsidR="00D4483D" w:rsidRPr="007C3B55" w:rsidRDefault="00D4483D" w:rsidP="00766CA8">
            <w:r w:rsidRPr="007C3B55">
              <w:rPr>
                <w:sz w:val="22"/>
                <w:szCs w:val="22"/>
              </w:rPr>
              <w:t> </w:t>
            </w:r>
          </w:p>
        </w:tc>
        <w:tc>
          <w:tcPr>
            <w:tcW w:w="705" w:type="pct"/>
            <w:tcBorders>
              <w:top w:val="single" w:sz="4" w:space="0" w:color="auto"/>
              <w:left w:val="single" w:sz="4" w:space="0" w:color="auto"/>
              <w:bottom w:val="single" w:sz="4" w:space="0" w:color="auto"/>
              <w:right w:val="single" w:sz="4" w:space="0" w:color="auto"/>
            </w:tcBorders>
            <w:vAlign w:val="center"/>
          </w:tcPr>
          <w:p w:rsidR="00D4483D" w:rsidRPr="007C3B55" w:rsidRDefault="00D4483D" w:rsidP="007C3B55">
            <w:pPr>
              <w:jc w:val="center"/>
            </w:pPr>
          </w:p>
        </w:tc>
        <w:tc>
          <w:tcPr>
            <w:tcW w:w="705" w:type="pct"/>
            <w:tcBorders>
              <w:top w:val="nil"/>
              <w:left w:val="nil"/>
              <w:bottom w:val="single" w:sz="4" w:space="0" w:color="auto"/>
              <w:right w:val="single" w:sz="4" w:space="0" w:color="auto"/>
            </w:tcBorders>
            <w:noWrap/>
            <w:vAlign w:val="center"/>
          </w:tcPr>
          <w:p w:rsidR="00D4483D" w:rsidRPr="007C3B55" w:rsidRDefault="00D4483D" w:rsidP="007C3B55">
            <w:pPr>
              <w:jc w:val="center"/>
            </w:pPr>
          </w:p>
        </w:tc>
        <w:tc>
          <w:tcPr>
            <w:tcW w:w="705" w:type="pct"/>
            <w:tcBorders>
              <w:top w:val="nil"/>
              <w:left w:val="nil"/>
              <w:bottom w:val="single" w:sz="4" w:space="0" w:color="auto"/>
              <w:right w:val="single" w:sz="4" w:space="0" w:color="auto"/>
            </w:tcBorders>
            <w:noWrap/>
            <w:vAlign w:val="center"/>
          </w:tcPr>
          <w:p w:rsidR="00D4483D" w:rsidRPr="007C3B55" w:rsidRDefault="00D4483D" w:rsidP="007C3B55">
            <w:pPr>
              <w:jc w:val="center"/>
            </w:pPr>
          </w:p>
        </w:tc>
      </w:tr>
    </w:tbl>
    <w:p w:rsidR="00D4483D" w:rsidRDefault="00D4483D">
      <w:r>
        <w:br w:type="page"/>
      </w:r>
    </w:p>
    <w:tbl>
      <w:tblPr>
        <w:tblW w:w="5000" w:type="pct"/>
        <w:jc w:val="center"/>
        <w:tblLayout w:type="fixed"/>
        <w:tblCellMar>
          <w:left w:w="70" w:type="dxa"/>
          <w:right w:w="70" w:type="dxa"/>
        </w:tblCellMar>
        <w:tblLook w:val="00A0"/>
      </w:tblPr>
      <w:tblGrid>
        <w:gridCol w:w="5315"/>
        <w:gridCol w:w="1299"/>
        <w:gridCol w:w="1299"/>
        <w:gridCol w:w="1299"/>
      </w:tblGrid>
      <w:tr w:rsidR="00D4483D" w:rsidRPr="007C3B55" w:rsidTr="00AD04A3">
        <w:trPr>
          <w:trHeight w:val="247"/>
          <w:jc w:val="center"/>
        </w:trPr>
        <w:tc>
          <w:tcPr>
            <w:tcW w:w="2885" w:type="pct"/>
            <w:tcBorders>
              <w:top w:val="nil"/>
              <w:left w:val="single" w:sz="4" w:space="0" w:color="auto"/>
              <w:bottom w:val="single" w:sz="4" w:space="0" w:color="auto"/>
              <w:right w:val="single" w:sz="4" w:space="0" w:color="auto"/>
            </w:tcBorders>
            <w:shd w:val="clear" w:color="000000" w:fill="C0C0C0"/>
            <w:noWrap/>
            <w:vAlign w:val="bottom"/>
          </w:tcPr>
          <w:p w:rsidR="00D4483D" w:rsidRPr="007C3B55" w:rsidRDefault="00D4483D" w:rsidP="00766CA8">
            <w:pPr>
              <w:rPr>
                <w:b/>
                <w:bCs/>
              </w:rPr>
            </w:pPr>
            <w:r w:rsidRPr="007C3B55">
              <w:rPr>
                <w:b/>
                <w:bCs/>
                <w:sz w:val="22"/>
                <w:szCs w:val="22"/>
              </w:rPr>
              <w:t>CHARGES</w:t>
            </w:r>
          </w:p>
        </w:tc>
        <w:tc>
          <w:tcPr>
            <w:tcW w:w="705" w:type="pct"/>
            <w:tcBorders>
              <w:top w:val="single" w:sz="4" w:space="0" w:color="auto"/>
              <w:left w:val="single" w:sz="4" w:space="0" w:color="auto"/>
              <w:bottom w:val="single" w:sz="4" w:space="0" w:color="auto"/>
              <w:right w:val="single" w:sz="4" w:space="0" w:color="auto"/>
            </w:tcBorders>
            <w:shd w:val="clear" w:color="000000" w:fill="C0C0C0"/>
            <w:vAlign w:val="bottom"/>
          </w:tcPr>
          <w:p w:rsidR="00D4483D" w:rsidRPr="00576C60" w:rsidRDefault="00D4483D" w:rsidP="00576C60">
            <w:pPr>
              <w:jc w:val="center"/>
              <w:rPr>
                <w:b/>
              </w:rPr>
            </w:pPr>
            <w:r w:rsidRPr="00576C60">
              <w:rPr>
                <w:b/>
                <w:sz w:val="22"/>
                <w:szCs w:val="22"/>
              </w:rPr>
              <w:t>758 271</w:t>
            </w:r>
          </w:p>
        </w:tc>
        <w:tc>
          <w:tcPr>
            <w:tcW w:w="705" w:type="pct"/>
            <w:tcBorders>
              <w:top w:val="nil"/>
              <w:left w:val="nil"/>
              <w:bottom w:val="single" w:sz="4" w:space="0" w:color="auto"/>
              <w:right w:val="single" w:sz="4" w:space="0" w:color="auto"/>
            </w:tcBorders>
            <w:shd w:val="clear" w:color="000000" w:fill="C0C0C0"/>
            <w:noWrap/>
            <w:vAlign w:val="bottom"/>
          </w:tcPr>
          <w:p w:rsidR="00D4483D" w:rsidRPr="00576C60" w:rsidRDefault="00D4483D" w:rsidP="00576C60">
            <w:pPr>
              <w:jc w:val="center"/>
              <w:rPr>
                <w:b/>
              </w:rPr>
            </w:pPr>
            <w:r w:rsidRPr="00576C60">
              <w:rPr>
                <w:b/>
                <w:sz w:val="22"/>
                <w:szCs w:val="22"/>
              </w:rPr>
              <w:t>686 030</w:t>
            </w:r>
          </w:p>
        </w:tc>
        <w:tc>
          <w:tcPr>
            <w:tcW w:w="705" w:type="pct"/>
            <w:tcBorders>
              <w:top w:val="nil"/>
              <w:left w:val="nil"/>
              <w:bottom w:val="single" w:sz="4" w:space="0" w:color="auto"/>
              <w:right w:val="single" w:sz="4" w:space="0" w:color="auto"/>
            </w:tcBorders>
            <w:shd w:val="clear" w:color="000000" w:fill="C0C0C0"/>
            <w:noWrap/>
            <w:vAlign w:val="bottom"/>
          </w:tcPr>
          <w:p w:rsidR="00D4483D" w:rsidRPr="00576C60" w:rsidRDefault="00D4483D" w:rsidP="00576C60">
            <w:pPr>
              <w:jc w:val="center"/>
              <w:rPr>
                <w:b/>
              </w:rPr>
            </w:pPr>
            <w:r w:rsidRPr="00576C60">
              <w:rPr>
                <w:b/>
                <w:sz w:val="22"/>
                <w:szCs w:val="22"/>
              </w:rPr>
              <w:t>731 456</w:t>
            </w:r>
          </w:p>
        </w:tc>
      </w:tr>
      <w:tr w:rsidR="00D4483D" w:rsidRPr="007C3B55" w:rsidTr="00AD04A3">
        <w:trPr>
          <w:trHeight w:val="247"/>
          <w:jc w:val="center"/>
        </w:trPr>
        <w:tc>
          <w:tcPr>
            <w:tcW w:w="2885" w:type="pct"/>
            <w:tcBorders>
              <w:top w:val="nil"/>
              <w:left w:val="single" w:sz="4" w:space="0" w:color="auto"/>
              <w:bottom w:val="single" w:sz="4" w:space="0" w:color="auto"/>
              <w:right w:val="single" w:sz="4" w:space="0" w:color="auto"/>
            </w:tcBorders>
            <w:shd w:val="clear" w:color="auto" w:fill="D9D9D9"/>
            <w:noWrap/>
            <w:vAlign w:val="bottom"/>
          </w:tcPr>
          <w:p w:rsidR="00D4483D" w:rsidRPr="007C3B55" w:rsidRDefault="00D4483D" w:rsidP="00766CA8">
            <w:pPr>
              <w:rPr>
                <w:b/>
                <w:bCs/>
              </w:rPr>
            </w:pPr>
            <w:r w:rsidRPr="007C3B55">
              <w:rPr>
                <w:b/>
                <w:bCs/>
                <w:sz w:val="22"/>
                <w:szCs w:val="22"/>
              </w:rPr>
              <w:t>CHARGES HORS TIERS</w:t>
            </w:r>
          </w:p>
        </w:tc>
        <w:tc>
          <w:tcPr>
            <w:tcW w:w="705" w:type="pct"/>
            <w:tcBorders>
              <w:top w:val="single" w:sz="4" w:space="0" w:color="auto"/>
              <w:left w:val="single" w:sz="4" w:space="0" w:color="auto"/>
              <w:bottom w:val="single" w:sz="4" w:space="0" w:color="auto"/>
              <w:right w:val="single" w:sz="4" w:space="0" w:color="auto"/>
            </w:tcBorders>
            <w:shd w:val="clear" w:color="auto" w:fill="D9D9D9"/>
            <w:vAlign w:val="bottom"/>
          </w:tcPr>
          <w:p w:rsidR="00D4483D" w:rsidRPr="00576C60" w:rsidRDefault="00D4483D" w:rsidP="00576C60">
            <w:pPr>
              <w:jc w:val="center"/>
              <w:rPr>
                <w:b/>
              </w:rPr>
            </w:pPr>
            <w:r w:rsidRPr="00576C60">
              <w:rPr>
                <w:b/>
                <w:sz w:val="22"/>
                <w:szCs w:val="22"/>
              </w:rPr>
              <w:t>380 229</w:t>
            </w:r>
          </w:p>
        </w:tc>
        <w:tc>
          <w:tcPr>
            <w:tcW w:w="705" w:type="pct"/>
            <w:tcBorders>
              <w:top w:val="nil"/>
              <w:left w:val="nil"/>
              <w:bottom w:val="single" w:sz="4" w:space="0" w:color="auto"/>
              <w:right w:val="single" w:sz="4" w:space="0" w:color="auto"/>
            </w:tcBorders>
            <w:shd w:val="clear" w:color="auto" w:fill="D9D9D9"/>
            <w:noWrap/>
            <w:vAlign w:val="bottom"/>
          </w:tcPr>
          <w:p w:rsidR="00D4483D" w:rsidRPr="00576C60" w:rsidRDefault="00D4483D" w:rsidP="00576C60">
            <w:pPr>
              <w:jc w:val="center"/>
              <w:rPr>
                <w:b/>
              </w:rPr>
            </w:pPr>
            <w:r w:rsidRPr="00576C60">
              <w:rPr>
                <w:b/>
                <w:sz w:val="22"/>
                <w:szCs w:val="22"/>
              </w:rPr>
              <w:t>416 151</w:t>
            </w:r>
          </w:p>
        </w:tc>
        <w:tc>
          <w:tcPr>
            <w:tcW w:w="705" w:type="pct"/>
            <w:tcBorders>
              <w:top w:val="nil"/>
              <w:left w:val="nil"/>
              <w:bottom w:val="single" w:sz="4" w:space="0" w:color="auto"/>
              <w:right w:val="single" w:sz="4" w:space="0" w:color="auto"/>
            </w:tcBorders>
            <w:shd w:val="clear" w:color="auto" w:fill="D9D9D9"/>
            <w:noWrap/>
            <w:vAlign w:val="bottom"/>
          </w:tcPr>
          <w:p w:rsidR="00D4483D" w:rsidRPr="00576C60" w:rsidRDefault="00D4483D" w:rsidP="00576C60">
            <w:pPr>
              <w:jc w:val="center"/>
              <w:rPr>
                <w:b/>
              </w:rPr>
            </w:pPr>
            <w:r w:rsidRPr="00576C60">
              <w:rPr>
                <w:b/>
                <w:sz w:val="22"/>
                <w:szCs w:val="22"/>
              </w:rPr>
              <w:t>459 295</w:t>
            </w:r>
          </w:p>
        </w:tc>
      </w:tr>
      <w:tr w:rsidR="00D4483D" w:rsidRPr="007C3B55" w:rsidTr="007C3B55">
        <w:trPr>
          <w:trHeight w:val="247"/>
          <w:jc w:val="center"/>
        </w:trPr>
        <w:tc>
          <w:tcPr>
            <w:tcW w:w="2885" w:type="pct"/>
            <w:tcBorders>
              <w:top w:val="nil"/>
              <w:left w:val="single" w:sz="4" w:space="0" w:color="auto"/>
              <w:bottom w:val="single" w:sz="4" w:space="0" w:color="auto"/>
              <w:right w:val="single" w:sz="4" w:space="0" w:color="auto"/>
            </w:tcBorders>
            <w:noWrap/>
            <w:vAlign w:val="bottom"/>
          </w:tcPr>
          <w:p w:rsidR="00D4483D" w:rsidRPr="007C3B55" w:rsidRDefault="00D4483D" w:rsidP="00766CA8">
            <w:r w:rsidRPr="007C3B55">
              <w:rPr>
                <w:sz w:val="22"/>
                <w:szCs w:val="22"/>
              </w:rPr>
              <w:t>Personnel</w:t>
            </w:r>
          </w:p>
        </w:tc>
        <w:tc>
          <w:tcPr>
            <w:tcW w:w="705" w:type="pct"/>
            <w:tcBorders>
              <w:top w:val="single" w:sz="4" w:space="0" w:color="auto"/>
              <w:left w:val="single" w:sz="4" w:space="0" w:color="auto"/>
              <w:bottom w:val="single" w:sz="4" w:space="0" w:color="auto"/>
              <w:right w:val="single" w:sz="4" w:space="0" w:color="auto"/>
            </w:tcBorders>
            <w:vAlign w:val="center"/>
          </w:tcPr>
          <w:p w:rsidR="00D4483D" w:rsidRPr="007C3B55" w:rsidRDefault="00D4483D" w:rsidP="007C3B55">
            <w:pPr>
              <w:jc w:val="center"/>
            </w:pPr>
            <w:r w:rsidRPr="007C3B55">
              <w:rPr>
                <w:sz w:val="22"/>
                <w:szCs w:val="22"/>
              </w:rPr>
              <w:t>193 460</w:t>
            </w:r>
          </w:p>
        </w:tc>
        <w:tc>
          <w:tcPr>
            <w:tcW w:w="705" w:type="pct"/>
            <w:tcBorders>
              <w:top w:val="nil"/>
              <w:left w:val="nil"/>
              <w:bottom w:val="single" w:sz="4" w:space="0" w:color="auto"/>
              <w:right w:val="single" w:sz="4" w:space="0" w:color="auto"/>
            </w:tcBorders>
            <w:noWrap/>
            <w:vAlign w:val="center"/>
          </w:tcPr>
          <w:p w:rsidR="00D4483D" w:rsidRPr="007C3B55" w:rsidRDefault="00D4483D" w:rsidP="007C3B55">
            <w:pPr>
              <w:jc w:val="center"/>
            </w:pPr>
            <w:r w:rsidRPr="007C3B55">
              <w:rPr>
                <w:sz w:val="22"/>
                <w:szCs w:val="22"/>
              </w:rPr>
              <w:t>209 431</w:t>
            </w:r>
          </w:p>
        </w:tc>
        <w:tc>
          <w:tcPr>
            <w:tcW w:w="705" w:type="pct"/>
            <w:tcBorders>
              <w:top w:val="nil"/>
              <w:left w:val="nil"/>
              <w:bottom w:val="single" w:sz="4" w:space="0" w:color="auto"/>
              <w:right w:val="single" w:sz="4" w:space="0" w:color="auto"/>
            </w:tcBorders>
            <w:noWrap/>
            <w:vAlign w:val="center"/>
          </w:tcPr>
          <w:p w:rsidR="00D4483D" w:rsidRPr="007C3B55" w:rsidRDefault="00D4483D" w:rsidP="007C3B55">
            <w:pPr>
              <w:jc w:val="center"/>
            </w:pPr>
            <w:r w:rsidRPr="007C3B55">
              <w:rPr>
                <w:sz w:val="22"/>
                <w:szCs w:val="22"/>
              </w:rPr>
              <w:t>238 674</w:t>
            </w:r>
          </w:p>
        </w:tc>
      </w:tr>
      <w:tr w:rsidR="00D4483D" w:rsidRPr="007C3B55" w:rsidTr="007C3B55">
        <w:trPr>
          <w:trHeight w:val="247"/>
          <w:jc w:val="center"/>
        </w:trPr>
        <w:tc>
          <w:tcPr>
            <w:tcW w:w="2885" w:type="pct"/>
            <w:tcBorders>
              <w:top w:val="nil"/>
              <w:left w:val="single" w:sz="4" w:space="0" w:color="auto"/>
              <w:bottom w:val="single" w:sz="4" w:space="0" w:color="auto"/>
              <w:right w:val="single" w:sz="4" w:space="0" w:color="auto"/>
            </w:tcBorders>
            <w:noWrap/>
            <w:vAlign w:val="bottom"/>
          </w:tcPr>
          <w:p w:rsidR="00D4483D" w:rsidRPr="007C3B55" w:rsidRDefault="00D4483D" w:rsidP="00766CA8">
            <w:r w:rsidRPr="007C3B55">
              <w:rPr>
                <w:sz w:val="22"/>
                <w:szCs w:val="22"/>
              </w:rPr>
              <w:t>Energie électrique</w:t>
            </w:r>
          </w:p>
        </w:tc>
        <w:tc>
          <w:tcPr>
            <w:tcW w:w="705" w:type="pct"/>
            <w:tcBorders>
              <w:top w:val="single" w:sz="4" w:space="0" w:color="auto"/>
              <w:left w:val="single" w:sz="4" w:space="0" w:color="auto"/>
              <w:bottom w:val="single" w:sz="4" w:space="0" w:color="auto"/>
              <w:right w:val="single" w:sz="4" w:space="0" w:color="auto"/>
            </w:tcBorders>
            <w:vAlign w:val="center"/>
          </w:tcPr>
          <w:p w:rsidR="00D4483D" w:rsidRPr="007C3B55" w:rsidRDefault="00D4483D" w:rsidP="007C3B55">
            <w:pPr>
              <w:jc w:val="center"/>
            </w:pPr>
            <w:r w:rsidRPr="007C3B55">
              <w:rPr>
                <w:sz w:val="22"/>
                <w:szCs w:val="22"/>
              </w:rPr>
              <w:t>17 513</w:t>
            </w:r>
          </w:p>
        </w:tc>
        <w:tc>
          <w:tcPr>
            <w:tcW w:w="705" w:type="pct"/>
            <w:tcBorders>
              <w:top w:val="nil"/>
              <w:left w:val="nil"/>
              <w:bottom w:val="single" w:sz="4" w:space="0" w:color="auto"/>
              <w:right w:val="single" w:sz="4" w:space="0" w:color="auto"/>
            </w:tcBorders>
            <w:noWrap/>
            <w:vAlign w:val="center"/>
          </w:tcPr>
          <w:p w:rsidR="00D4483D" w:rsidRPr="007C3B55" w:rsidRDefault="00D4483D" w:rsidP="007C3B55">
            <w:pPr>
              <w:jc w:val="center"/>
            </w:pPr>
            <w:r w:rsidRPr="007C3B55">
              <w:rPr>
                <w:sz w:val="22"/>
                <w:szCs w:val="22"/>
              </w:rPr>
              <w:t>21 339</w:t>
            </w:r>
          </w:p>
        </w:tc>
        <w:tc>
          <w:tcPr>
            <w:tcW w:w="705" w:type="pct"/>
            <w:tcBorders>
              <w:top w:val="nil"/>
              <w:left w:val="nil"/>
              <w:bottom w:val="single" w:sz="4" w:space="0" w:color="auto"/>
              <w:right w:val="single" w:sz="4" w:space="0" w:color="auto"/>
            </w:tcBorders>
            <w:noWrap/>
            <w:vAlign w:val="center"/>
          </w:tcPr>
          <w:p w:rsidR="00D4483D" w:rsidRPr="007C3B55" w:rsidRDefault="00D4483D" w:rsidP="007C3B55">
            <w:pPr>
              <w:jc w:val="center"/>
            </w:pPr>
            <w:r w:rsidRPr="007C3B55">
              <w:rPr>
                <w:sz w:val="22"/>
                <w:szCs w:val="22"/>
              </w:rPr>
              <w:t>19 639</w:t>
            </w:r>
          </w:p>
        </w:tc>
      </w:tr>
      <w:tr w:rsidR="00D4483D" w:rsidRPr="007C3B55" w:rsidTr="007C3B55">
        <w:trPr>
          <w:trHeight w:val="247"/>
          <w:jc w:val="center"/>
        </w:trPr>
        <w:tc>
          <w:tcPr>
            <w:tcW w:w="2885" w:type="pct"/>
            <w:tcBorders>
              <w:top w:val="nil"/>
              <w:left w:val="single" w:sz="4" w:space="0" w:color="auto"/>
              <w:bottom w:val="single" w:sz="4" w:space="0" w:color="auto"/>
              <w:right w:val="single" w:sz="4" w:space="0" w:color="auto"/>
            </w:tcBorders>
            <w:noWrap/>
            <w:vAlign w:val="bottom"/>
          </w:tcPr>
          <w:p w:rsidR="00D4483D" w:rsidRPr="007C3B55" w:rsidRDefault="00D4483D" w:rsidP="00766CA8">
            <w:r w:rsidRPr="007C3B55">
              <w:rPr>
                <w:sz w:val="22"/>
                <w:szCs w:val="22"/>
              </w:rPr>
              <w:t>Produits de traitement</w:t>
            </w:r>
          </w:p>
        </w:tc>
        <w:tc>
          <w:tcPr>
            <w:tcW w:w="705" w:type="pct"/>
            <w:tcBorders>
              <w:top w:val="single" w:sz="4" w:space="0" w:color="auto"/>
              <w:left w:val="single" w:sz="4" w:space="0" w:color="auto"/>
              <w:bottom w:val="single" w:sz="4" w:space="0" w:color="auto"/>
              <w:right w:val="single" w:sz="4" w:space="0" w:color="auto"/>
            </w:tcBorders>
            <w:vAlign w:val="center"/>
          </w:tcPr>
          <w:p w:rsidR="00D4483D" w:rsidRPr="007C3B55" w:rsidRDefault="00D4483D" w:rsidP="007C3B55">
            <w:pPr>
              <w:jc w:val="center"/>
            </w:pPr>
            <w:r w:rsidRPr="007C3B55">
              <w:rPr>
                <w:sz w:val="22"/>
                <w:szCs w:val="22"/>
              </w:rPr>
              <w:t>124</w:t>
            </w:r>
          </w:p>
        </w:tc>
        <w:tc>
          <w:tcPr>
            <w:tcW w:w="705" w:type="pct"/>
            <w:tcBorders>
              <w:top w:val="nil"/>
              <w:left w:val="nil"/>
              <w:bottom w:val="single" w:sz="4" w:space="0" w:color="auto"/>
              <w:right w:val="single" w:sz="4" w:space="0" w:color="auto"/>
            </w:tcBorders>
            <w:noWrap/>
            <w:vAlign w:val="center"/>
          </w:tcPr>
          <w:p w:rsidR="00D4483D" w:rsidRPr="007C3B55" w:rsidRDefault="00D4483D" w:rsidP="007C3B55">
            <w:pPr>
              <w:jc w:val="center"/>
            </w:pPr>
            <w:r w:rsidRPr="007C3B55">
              <w:rPr>
                <w:sz w:val="22"/>
                <w:szCs w:val="22"/>
              </w:rPr>
              <w:t>174</w:t>
            </w:r>
          </w:p>
        </w:tc>
        <w:tc>
          <w:tcPr>
            <w:tcW w:w="705" w:type="pct"/>
            <w:tcBorders>
              <w:top w:val="nil"/>
              <w:left w:val="nil"/>
              <w:bottom w:val="single" w:sz="4" w:space="0" w:color="auto"/>
              <w:right w:val="single" w:sz="4" w:space="0" w:color="auto"/>
            </w:tcBorders>
            <w:noWrap/>
            <w:vAlign w:val="center"/>
          </w:tcPr>
          <w:p w:rsidR="00D4483D" w:rsidRPr="007C3B55" w:rsidRDefault="00D4483D" w:rsidP="007C3B55">
            <w:pPr>
              <w:jc w:val="center"/>
            </w:pPr>
            <w:r w:rsidRPr="007C3B55">
              <w:rPr>
                <w:sz w:val="22"/>
                <w:szCs w:val="22"/>
              </w:rPr>
              <w:t>0</w:t>
            </w:r>
          </w:p>
        </w:tc>
      </w:tr>
      <w:tr w:rsidR="00D4483D" w:rsidRPr="007C3B55" w:rsidTr="007C3B55">
        <w:trPr>
          <w:trHeight w:val="247"/>
          <w:jc w:val="center"/>
        </w:trPr>
        <w:tc>
          <w:tcPr>
            <w:tcW w:w="2885" w:type="pct"/>
            <w:tcBorders>
              <w:top w:val="nil"/>
              <w:left w:val="single" w:sz="4" w:space="0" w:color="auto"/>
              <w:bottom w:val="single" w:sz="4" w:space="0" w:color="auto"/>
              <w:right w:val="single" w:sz="4" w:space="0" w:color="auto"/>
            </w:tcBorders>
            <w:noWrap/>
            <w:vAlign w:val="bottom"/>
          </w:tcPr>
          <w:p w:rsidR="00D4483D" w:rsidRPr="007C3B55" w:rsidRDefault="00D4483D" w:rsidP="00766CA8">
            <w:r w:rsidRPr="007C3B55">
              <w:rPr>
                <w:sz w:val="22"/>
                <w:szCs w:val="22"/>
              </w:rPr>
              <w:t>Analyses</w:t>
            </w:r>
          </w:p>
        </w:tc>
        <w:tc>
          <w:tcPr>
            <w:tcW w:w="705" w:type="pct"/>
            <w:tcBorders>
              <w:top w:val="single" w:sz="4" w:space="0" w:color="auto"/>
              <w:left w:val="single" w:sz="4" w:space="0" w:color="auto"/>
              <w:bottom w:val="single" w:sz="4" w:space="0" w:color="auto"/>
              <w:right w:val="single" w:sz="4" w:space="0" w:color="auto"/>
            </w:tcBorders>
            <w:vAlign w:val="center"/>
          </w:tcPr>
          <w:p w:rsidR="00D4483D" w:rsidRPr="007C3B55" w:rsidRDefault="00D4483D" w:rsidP="007C3B55">
            <w:pPr>
              <w:jc w:val="center"/>
            </w:pPr>
            <w:r w:rsidRPr="007C3B55">
              <w:rPr>
                <w:sz w:val="22"/>
                <w:szCs w:val="22"/>
              </w:rPr>
              <w:t>3 440</w:t>
            </w:r>
          </w:p>
        </w:tc>
        <w:tc>
          <w:tcPr>
            <w:tcW w:w="705" w:type="pct"/>
            <w:tcBorders>
              <w:top w:val="nil"/>
              <w:left w:val="nil"/>
              <w:bottom w:val="single" w:sz="4" w:space="0" w:color="auto"/>
              <w:right w:val="single" w:sz="4" w:space="0" w:color="auto"/>
            </w:tcBorders>
            <w:noWrap/>
            <w:vAlign w:val="center"/>
          </w:tcPr>
          <w:p w:rsidR="00D4483D" w:rsidRPr="007C3B55" w:rsidRDefault="00D4483D" w:rsidP="007C3B55">
            <w:pPr>
              <w:jc w:val="center"/>
            </w:pPr>
            <w:r w:rsidRPr="007C3B55">
              <w:rPr>
                <w:sz w:val="22"/>
                <w:szCs w:val="22"/>
              </w:rPr>
              <w:t>3 435</w:t>
            </w:r>
          </w:p>
        </w:tc>
        <w:tc>
          <w:tcPr>
            <w:tcW w:w="705" w:type="pct"/>
            <w:tcBorders>
              <w:top w:val="nil"/>
              <w:left w:val="nil"/>
              <w:bottom w:val="single" w:sz="4" w:space="0" w:color="auto"/>
              <w:right w:val="single" w:sz="4" w:space="0" w:color="auto"/>
            </w:tcBorders>
            <w:noWrap/>
            <w:vAlign w:val="center"/>
          </w:tcPr>
          <w:p w:rsidR="00D4483D" w:rsidRPr="007C3B55" w:rsidRDefault="00D4483D" w:rsidP="007C3B55">
            <w:pPr>
              <w:jc w:val="center"/>
            </w:pPr>
            <w:r w:rsidRPr="007C3B55">
              <w:rPr>
                <w:sz w:val="22"/>
                <w:szCs w:val="22"/>
              </w:rPr>
              <w:t>4 522</w:t>
            </w:r>
          </w:p>
        </w:tc>
      </w:tr>
      <w:tr w:rsidR="00D4483D" w:rsidRPr="007C3B55" w:rsidTr="007C3B55">
        <w:trPr>
          <w:trHeight w:val="247"/>
          <w:jc w:val="center"/>
        </w:trPr>
        <w:tc>
          <w:tcPr>
            <w:tcW w:w="2885" w:type="pct"/>
            <w:tcBorders>
              <w:top w:val="nil"/>
              <w:left w:val="single" w:sz="4" w:space="0" w:color="auto"/>
              <w:bottom w:val="single" w:sz="4" w:space="0" w:color="auto"/>
              <w:right w:val="single" w:sz="4" w:space="0" w:color="auto"/>
            </w:tcBorders>
            <w:noWrap/>
            <w:vAlign w:val="bottom"/>
          </w:tcPr>
          <w:p w:rsidR="00D4483D" w:rsidRPr="007C3B55" w:rsidRDefault="00D4483D" w:rsidP="00766CA8">
            <w:r w:rsidRPr="007C3B55">
              <w:rPr>
                <w:sz w:val="22"/>
                <w:szCs w:val="22"/>
              </w:rPr>
              <w:t>Sous-traitance, matières et fournitures</w:t>
            </w:r>
          </w:p>
        </w:tc>
        <w:tc>
          <w:tcPr>
            <w:tcW w:w="705" w:type="pct"/>
            <w:tcBorders>
              <w:top w:val="single" w:sz="4" w:space="0" w:color="auto"/>
              <w:left w:val="single" w:sz="4" w:space="0" w:color="auto"/>
              <w:bottom w:val="single" w:sz="4" w:space="0" w:color="auto"/>
              <w:right w:val="single" w:sz="4" w:space="0" w:color="auto"/>
            </w:tcBorders>
            <w:vAlign w:val="center"/>
          </w:tcPr>
          <w:p w:rsidR="00D4483D" w:rsidRPr="007C3B55" w:rsidRDefault="00D4483D" w:rsidP="007C3B55">
            <w:pPr>
              <w:jc w:val="center"/>
            </w:pPr>
            <w:r w:rsidRPr="007C3B55">
              <w:rPr>
                <w:sz w:val="22"/>
                <w:szCs w:val="22"/>
              </w:rPr>
              <w:t>55 246</w:t>
            </w:r>
          </w:p>
        </w:tc>
        <w:tc>
          <w:tcPr>
            <w:tcW w:w="705" w:type="pct"/>
            <w:tcBorders>
              <w:top w:val="nil"/>
              <w:left w:val="nil"/>
              <w:bottom w:val="single" w:sz="4" w:space="0" w:color="auto"/>
              <w:right w:val="single" w:sz="4" w:space="0" w:color="auto"/>
            </w:tcBorders>
            <w:noWrap/>
            <w:vAlign w:val="center"/>
          </w:tcPr>
          <w:p w:rsidR="00D4483D" w:rsidRPr="007C3B55" w:rsidRDefault="00D4483D" w:rsidP="007C3B55">
            <w:pPr>
              <w:jc w:val="center"/>
            </w:pPr>
            <w:r w:rsidRPr="007C3B55">
              <w:rPr>
                <w:sz w:val="22"/>
                <w:szCs w:val="22"/>
              </w:rPr>
              <w:t>64 985</w:t>
            </w:r>
          </w:p>
        </w:tc>
        <w:tc>
          <w:tcPr>
            <w:tcW w:w="705" w:type="pct"/>
            <w:tcBorders>
              <w:top w:val="nil"/>
              <w:left w:val="nil"/>
              <w:bottom w:val="single" w:sz="4" w:space="0" w:color="auto"/>
              <w:right w:val="single" w:sz="4" w:space="0" w:color="auto"/>
            </w:tcBorders>
            <w:noWrap/>
            <w:vAlign w:val="center"/>
          </w:tcPr>
          <w:p w:rsidR="00D4483D" w:rsidRPr="007C3B55" w:rsidRDefault="00D4483D" w:rsidP="007C3B55">
            <w:pPr>
              <w:jc w:val="center"/>
            </w:pPr>
            <w:r w:rsidRPr="007C3B55">
              <w:rPr>
                <w:sz w:val="22"/>
                <w:szCs w:val="22"/>
              </w:rPr>
              <w:t>58 739</w:t>
            </w:r>
          </w:p>
        </w:tc>
      </w:tr>
      <w:tr w:rsidR="00D4483D" w:rsidRPr="007C3B55" w:rsidTr="007C3B55">
        <w:trPr>
          <w:trHeight w:val="247"/>
          <w:jc w:val="center"/>
        </w:trPr>
        <w:tc>
          <w:tcPr>
            <w:tcW w:w="2885" w:type="pct"/>
            <w:tcBorders>
              <w:top w:val="nil"/>
              <w:left w:val="single" w:sz="4" w:space="0" w:color="auto"/>
              <w:bottom w:val="single" w:sz="4" w:space="0" w:color="auto"/>
              <w:right w:val="single" w:sz="4" w:space="0" w:color="auto"/>
            </w:tcBorders>
            <w:noWrap/>
            <w:vAlign w:val="bottom"/>
          </w:tcPr>
          <w:p w:rsidR="00D4483D" w:rsidRPr="007C3B55" w:rsidRDefault="00D4483D" w:rsidP="00766CA8">
            <w:r w:rsidRPr="007C3B55">
              <w:rPr>
                <w:sz w:val="22"/>
                <w:szCs w:val="22"/>
              </w:rPr>
              <w:t>Impôts locaux et taxes</w:t>
            </w:r>
          </w:p>
        </w:tc>
        <w:tc>
          <w:tcPr>
            <w:tcW w:w="705" w:type="pct"/>
            <w:tcBorders>
              <w:top w:val="single" w:sz="4" w:space="0" w:color="auto"/>
              <w:left w:val="single" w:sz="4" w:space="0" w:color="auto"/>
              <w:bottom w:val="single" w:sz="4" w:space="0" w:color="auto"/>
              <w:right w:val="single" w:sz="4" w:space="0" w:color="auto"/>
            </w:tcBorders>
            <w:vAlign w:val="center"/>
          </w:tcPr>
          <w:p w:rsidR="00D4483D" w:rsidRPr="007C3B55" w:rsidRDefault="00D4483D" w:rsidP="007C3B55">
            <w:pPr>
              <w:jc w:val="center"/>
            </w:pPr>
            <w:r w:rsidRPr="007C3B55">
              <w:rPr>
                <w:sz w:val="22"/>
                <w:szCs w:val="22"/>
              </w:rPr>
              <w:t>7 780</w:t>
            </w:r>
          </w:p>
        </w:tc>
        <w:tc>
          <w:tcPr>
            <w:tcW w:w="705" w:type="pct"/>
            <w:tcBorders>
              <w:top w:val="nil"/>
              <w:left w:val="nil"/>
              <w:bottom w:val="single" w:sz="4" w:space="0" w:color="auto"/>
              <w:right w:val="single" w:sz="4" w:space="0" w:color="auto"/>
            </w:tcBorders>
            <w:noWrap/>
            <w:vAlign w:val="center"/>
          </w:tcPr>
          <w:p w:rsidR="00D4483D" w:rsidRPr="007C3B55" w:rsidRDefault="00D4483D" w:rsidP="007C3B55">
            <w:pPr>
              <w:jc w:val="center"/>
            </w:pPr>
            <w:r w:rsidRPr="007C3B55">
              <w:rPr>
                <w:sz w:val="22"/>
                <w:szCs w:val="22"/>
              </w:rPr>
              <w:t>11 106</w:t>
            </w:r>
          </w:p>
        </w:tc>
        <w:tc>
          <w:tcPr>
            <w:tcW w:w="705" w:type="pct"/>
            <w:tcBorders>
              <w:top w:val="nil"/>
              <w:left w:val="nil"/>
              <w:bottom w:val="single" w:sz="4" w:space="0" w:color="auto"/>
              <w:right w:val="single" w:sz="4" w:space="0" w:color="auto"/>
            </w:tcBorders>
            <w:noWrap/>
            <w:vAlign w:val="center"/>
          </w:tcPr>
          <w:p w:rsidR="00D4483D" w:rsidRPr="007C3B55" w:rsidRDefault="00D4483D" w:rsidP="007C3B55">
            <w:pPr>
              <w:jc w:val="center"/>
            </w:pPr>
            <w:r w:rsidRPr="007C3B55">
              <w:rPr>
                <w:sz w:val="22"/>
                <w:szCs w:val="22"/>
              </w:rPr>
              <w:t>10 809</w:t>
            </w:r>
          </w:p>
        </w:tc>
      </w:tr>
      <w:tr w:rsidR="00D4483D" w:rsidRPr="007C3B55" w:rsidTr="007C3B55">
        <w:trPr>
          <w:trHeight w:val="247"/>
          <w:jc w:val="center"/>
        </w:trPr>
        <w:tc>
          <w:tcPr>
            <w:tcW w:w="2885" w:type="pct"/>
            <w:tcBorders>
              <w:top w:val="nil"/>
              <w:left w:val="single" w:sz="4" w:space="0" w:color="auto"/>
              <w:bottom w:val="single" w:sz="4" w:space="0" w:color="auto"/>
              <w:right w:val="single" w:sz="4" w:space="0" w:color="auto"/>
            </w:tcBorders>
            <w:noWrap/>
            <w:vAlign w:val="bottom"/>
          </w:tcPr>
          <w:p w:rsidR="00D4483D" w:rsidRPr="007C3B55" w:rsidRDefault="00D4483D" w:rsidP="00766CA8">
            <w:r w:rsidRPr="007C3B55">
              <w:rPr>
                <w:sz w:val="22"/>
                <w:szCs w:val="22"/>
              </w:rPr>
              <w:t>Télécommunication, poste et télégestion</w:t>
            </w:r>
          </w:p>
        </w:tc>
        <w:tc>
          <w:tcPr>
            <w:tcW w:w="705" w:type="pct"/>
            <w:tcBorders>
              <w:top w:val="single" w:sz="4" w:space="0" w:color="auto"/>
              <w:left w:val="single" w:sz="4" w:space="0" w:color="auto"/>
              <w:bottom w:val="single" w:sz="4" w:space="0" w:color="auto"/>
              <w:right w:val="single" w:sz="4" w:space="0" w:color="auto"/>
            </w:tcBorders>
            <w:vAlign w:val="center"/>
          </w:tcPr>
          <w:p w:rsidR="00D4483D" w:rsidRPr="007C3B55" w:rsidRDefault="00D4483D" w:rsidP="007C3B55">
            <w:pPr>
              <w:jc w:val="center"/>
            </w:pPr>
            <w:r w:rsidRPr="007C3B55">
              <w:rPr>
                <w:sz w:val="22"/>
                <w:szCs w:val="22"/>
              </w:rPr>
              <w:t>8 635</w:t>
            </w:r>
          </w:p>
        </w:tc>
        <w:tc>
          <w:tcPr>
            <w:tcW w:w="705" w:type="pct"/>
            <w:tcBorders>
              <w:top w:val="nil"/>
              <w:left w:val="nil"/>
              <w:bottom w:val="single" w:sz="4" w:space="0" w:color="auto"/>
              <w:right w:val="single" w:sz="4" w:space="0" w:color="auto"/>
            </w:tcBorders>
            <w:noWrap/>
            <w:vAlign w:val="center"/>
          </w:tcPr>
          <w:p w:rsidR="00D4483D" w:rsidRPr="007C3B55" w:rsidRDefault="00D4483D" w:rsidP="007C3B55">
            <w:pPr>
              <w:jc w:val="center"/>
            </w:pPr>
            <w:r w:rsidRPr="007C3B55">
              <w:rPr>
                <w:sz w:val="22"/>
                <w:szCs w:val="22"/>
              </w:rPr>
              <w:t>6 949</w:t>
            </w:r>
          </w:p>
        </w:tc>
        <w:tc>
          <w:tcPr>
            <w:tcW w:w="705" w:type="pct"/>
            <w:tcBorders>
              <w:top w:val="nil"/>
              <w:left w:val="nil"/>
              <w:bottom w:val="single" w:sz="4" w:space="0" w:color="auto"/>
              <w:right w:val="single" w:sz="4" w:space="0" w:color="auto"/>
            </w:tcBorders>
            <w:noWrap/>
            <w:vAlign w:val="center"/>
          </w:tcPr>
          <w:p w:rsidR="00D4483D" w:rsidRPr="007C3B55" w:rsidRDefault="00D4483D" w:rsidP="007C3B55">
            <w:pPr>
              <w:jc w:val="center"/>
            </w:pPr>
            <w:r w:rsidRPr="007C3B55">
              <w:rPr>
                <w:sz w:val="22"/>
                <w:szCs w:val="22"/>
              </w:rPr>
              <w:t>9 475</w:t>
            </w:r>
          </w:p>
        </w:tc>
      </w:tr>
      <w:tr w:rsidR="00D4483D" w:rsidRPr="007C3B55" w:rsidTr="007C3B55">
        <w:trPr>
          <w:trHeight w:val="247"/>
          <w:jc w:val="center"/>
        </w:trPr>
        <w:tc>
          <w:tcPr>
            <w:tcW w:w="2885" w:type="pct"/>
            <w:tcBorders>
              <w:top w:val="nil"/>
              <w:left w:val="single" w:sz="4" w:space="0" w:color="auto"/>
              <w:bottom w:val="single" w:sz="4" w:space="0" w:color="auto"/>
              <w:right w:val="single" w:sz="4" w:space="0" w:color="auto"/>
            </w:tcBorders>
            <w:noWrap/>
            <w:vAlign w:val="bottom"/>
          </w:tcPr>
          <w:p w:rsidR="00D4483D" w:rsidRPr="007C3B55" w:rsidRDefault="00D4483D" w:rsidP="00766CA8">
            <w:r w:rsidRPr="007C3B55">
              <w:rPr>
                <w:sz w:val="22"/>
                <w:szCs w:val="22"/>
              </w:rPr>
              <w:t>Engins et véhicules</w:t>
            </w:r>
          </w:p>
        </w:tc>
        <w:tc>
          <w:tcPr>
            <w:tcW w:w="705" w:type="pct"/>
            <w:tcBorders>
              <w:top w:val="single" w:sz="4" w:space="0" w:color="auto"/>
              <w:left w:val="single" w:sz="4" w:space="0" w:color="auto"/>
              <w:bottom w:val="single" w:sz="4" w:space="0" w:color="auto"/>
              <w:right w:val="single" w:sz="4" w:space="0" w:color="auto"/>
            </w:tcBorders>
            <w:vAlign w:val="center"/>
          </w:tcPr>
          <w:p w:rsidR="00D4483D" w:rsidRPr="007C3B55" w:rsidRDefault="00D4483D" w:rsidP="007C3B55">
            <w:pPr>
              <w:jc w:val="center"/>
            </w:pPr>
            <w:r w:rsidRPr="007C3B55">
              <w:rPr>
                <w:sz w:val="22"/>
                <w:szCs w:val="22"/>
              </w:rPr>
              <w:t>11 096</w:t>
            </w:r>
          </w:p>
        </w:tc>
        <w:tc>
          <w:tcPr>
            <w:tcW w:w="705" w:type="pct"/>
            <w:tcBorders>
              <w:top w:val="nil"/>
              <w:left w:val="nil"/>
              <w:bottom w:val="single" w:sz="4" w:space="0" w:color="auto"/>
              <w:right w:val="single" w:sz="4" w:space="0" w:color="auto"/>
            </w:tcBorders>
            <w:noWrap/>
            <w:vAlign w:val="center"/>
          </w:tcPr>
          <w:p w:rsidR="00D4483D" w:rsidRPr="007C3B55" w:rsidRDefault="00D4483D" w:rsidP="007C3B55">
            <w:pPr>
              <w:jc w:val="center"/>
            </w:pPr>
            <w:r w:rsidRPr="007C3B55">
              <w:rPr>
                <w:sz w:val="22"/>
                <w:szCs w:val="22"/>
              </w:rPr>
              <w:t>12 193</w:t>
            </w:r>
          </w:p>
        </w:tc>
        <w:tc>
          <w:tcPr>
            <w:tcW w:w="705" w:type="pct"/>
            <w:tcBorders>
              <w:top w:val="nil"/>
              <w:left w:val="nil"/>
              <w:bottom w:val="single" w:sz="4" w:space="0" w:color="auto"/>
              <w:right w:val="single" w:sz="4" w:space="0" w:color="auto"/>
            </w:tcBorders>
            <w:noWrap/>
            <w:vAlign w:val="center"/>
          </w:tcPr>
          <w:p w:rsidR="00D4483D" w:rsidRPr="007C3B55" w:rsidRDefault="00D4483D" w:rsidP="007C3B55">
            <w:pPr>
              <w:jc w:val="center"/>
            </w:pPr>
            <w:r w:rsidRPr="007C3B55">
              <w:rPr>
                <w:sz w:val="22"/>
                <w:szCs w:val="22"/>
              </w:rPr>
              <w:t>22 947</w:t>
            </w:r>
          </w:p>
        </w:tc>
      </w:tr>
      <w:tr w:rsidR="00D4483D" w:rsidRPr="007C3B55" w:rsidTr="007C3B55">
        <w:trPr>
          <w:trHeight w:val="247"/>
          <w:jc w:val="center"/>
        </w:trPr>
        <w:tc>
          <w:tcPr>
            <w:tcW w:w="2885" w:type="pct"/>
            <w:tcBorders>
              <w:top w:val="nil"/>
              <w:left w:val="single" w:sz="4" w:space="0" w:color="auto"/>
              <w:bottom w:val="single" w:sz="4" w:space="0" w:color="auto"/>
              <w:right w:val="single" w:sz="4" w:space="0" w:color="auto"/>
            </w:tcBorders>
            <w:noWrap/>
            <w:vAlign w:val="bottom"/>
          </w:tcPr>
          <w:p w:rsidR="00D4483D" w:rsidRPr="007C3B55" w:rsidRDefault="00D4483D" w:rsidP="00766CA8">
            <w:r w:rsidRPr="007C3B55">
              <w:rPr>
                <w:sz w:val="22"/>
                <w:szCs w:val="22"/>
              </w:rPr>
              <w:t>Informatique</w:t>
            </w:r>
          </w:p>
        </w:tc>
        <w:tc>
          <w:tcPr>
            <w:tcW w:w="705" w:type="pct"/>
            <w:tcBorders>
              <w:top w:val="single" w:sz="4" w:space="0" w:color="auto"/>
              <w:left w:val="single" w:sz="4" w:space="0" w:color="auto"/>
              <w:bottom w:val="single" w:sz="4" w:space="0" w:color="auto"/>
              <w:right w:val="single" w:sz="4" w:space="0" w:color="auto"/>
            </w:tcBorders>
            <w:vAlign w:val="center"/>
          </w:tcPr>
          <w:p w:rsidR="00D4483D" w:rsidRPr="007C3B55" w:rsidRDefault="00D4483D" w:rsidP="007C3B55">
            <w:pPr>
              <w:jc w:val="center"/>
            </w:pPr>
            <w:r w:rsidRPr="007C3B55">
              <w:rPr>
                <w:sz w:val="22"/>
                <w:szCs w:val="22"/>
              </w:rPr>
              <w:t>15 739</w:t>
            </w:r>
          </w:p>
        </w:tc>
        <w:tc>
          <w:tcPr>
            <w:tcW w:w="705" w:type="pct"/>
            <w:tcBorders>
              <w:top w:val="nil"/>
              <w:left w:val="nil"/>
              <w:bottom w:val="single" w:sz="4" w:space="0" w:color="auto"/>
              <w:right w:val="single" w:sz="4" w:space="0" w:color="auto"/>
            </w:tcBorders>
            <w:noWrap/>
            <w:vAlign w:val="center"/>
          </w:tcPr>
          <w:p w:rsidR="00D4483D" w:rsidRPr="007C3B55" w:rsidRDefault="00D4483D" w:rsidP="007C3B55">
            <w:pPr>
              <w:jc w:val="center"/>
            </w:pPr>
            <w:r w:rsidRPr="007C3B55">
              <w:rPr>
                <w:sz w:val="22"/>
                <w:szCs w:val="22"/>
              </w:rPr>
              <w:t>16 986</w:t>
            </w:r>
          </w:p>
        </w:tc>
        <w:tc>
          <w:tcPr>
            <w:tcW w:w="705" w:type="pct"/>
            <w:tcBorders>
              <w:top w:val="nil"/>
              <w:left w:val="nil"/>
              <w:bottom w:val="single" w:sz="4" w:space="0" w:color="auto"/>
              <w:right w:val="single" w:sz="4" w:space="0" w:color="auto"/>
            </w:tcBorders>
            <w:noWrap/>
            <w:vAlign w:val="center"/>
          </w:tcPr>
          <w:p w:rsidR="00D4483D" w:rsidRPr="007C3B55" w:rsidRDefault="00D4483D" w:rsidP="007C3B55">
            <w:pPr>
              <w:jc w:val="center"/>
            </w:pPr>
            <w:r w:rsidRPr="007C3B55">
              <w:rPr>
                <w:sz w:val="22"/>
                <w:szCs w:val="22"/>
              </w:rPr>
              <w:t>29 123</w:t>
            </w:r>
          </w:p>
        </w:tc>
      </w:tr>
      <w:tr w:rsidR="00D4483D" w:rsidRPr="007C3B55" w:rsidTr="007C3B55">
        <w:trPr>
          <w:trHeight w:val="247"/>
          <w:jc w:val="center"/>
        </w:trPr>
        <w:tc>
          <w:tcPr>
            <w:tcW w:w="2885" w:type="pct"/>
            <w:tcBorders>
              <w:top w:val="nil"/>
              <w:left w:val="single" w:sz="4" w:space="0" w:color="auto"/>
              <w:bottom w:val="single" w:sz="4" w:space="0" w:color="auto"/>
              <w:right w:val="single" w:sz="4" w:space="0" w:color="auto"/>
            </w:tcBorders>
            <w:noWrap/>
            <w:vAlign w:val="bottom"/>
          </w:tcPr>
          <w:p w:rsidR="00D4483D" w:rsidRPr="007C3B55" w:rsidRDefault="00D4483D" w:rsidP="00766CA8">
            <w:r w:rsidRPr="007C3B55">
              <w:rPr>
                <w:sz w:val="22"/>
                <w:szCs w:val="22"/>
              </w:rPr>
              <w:t>Assurances</w:t>
            </w:r>
          </w:p>
        </w:tc>
        <w:tc>
          <w:tcPr>
            <w:tcW w:w="705" w:type="pct"/>
            <w:tcBorders>
              <w:top w:val="single" w:sz="4" w:space="0" w:color="auto"/>
              <w:left w:val="single" w:sz="4" w:space="0" w:color="auto"/>
              <w:bottom w:val="single" w:sz="4" w:space="0" w:color="auto"/>
              <w:right w:val="single" w:sz="4" w:space="0" w:color="auto"/>
            </w:tcBorders>
            <w:vAlign w:val="center"/>
          </w:tcPr>
          <w:p w:rsidR="00D4483D" w:rsidRPr="007C3B55" w:rsidRDefault="00D4483D" w:rsidP="007C3B55">
            <w:pPr>
              <w:jc w:val="center"/>
            </w:pPr>
            <w:r w:rsidRPr="007C3B55">
              <w:rPr>
                <w:sz w:val="22"/>
                <w:szCs w:val="22"/>
              </w:rPr>
              <w:t>2 490</w:t>
            </w:r>
          </w:p>
        </w:tc>
        <w:tc>
          <w:tcPr>
            <w:tcW w:w="705" w:type="pct"/>
            <w:tcBorders>
              <w:top w:val="nil"/>
              <w:left w:val="nil"/>
              <w:bottom w:val="single" w:sz="4" w:space="0" w:color="auto"/>
              <w:right w:val="single" w:sz="4" w:space="0" w:color="auto"/>
            </w:tcBorders>
            <w:noWrap/>
            <w:vAlign w:val="center"/>
          </w:tcPr>
          <w:p w:rsidR="00D4483D" w:rsidRPr="007C3B55" w:rsidRDefault="00D4483D" w:rsidP="007C3B55">
            <w:pPr>
              <w:jc w:val="center"/>
            </w:pPr>
            <w:r w:rsidRPr="007C3B55">
              <w:rPr>
                <w:sz w:val="22"/>
                <w:szCs w:val="22"/>
              </w:rPr>
              <w:t>1 657</w:t>
            </w:r>
          </w:p>
        </w:tc>
        <w:tc>
          <w:tcPr>
            <w:tcW w:w="705" w:type="pct"/>
            <w:tcBorders>
              <w:top w:val="nil"/>
              <w:left w:val="nil"/>
              <w:bottom w:val="single" w:sz="4" w:space="0" w:color="auto"/>
              <w:right w:val="single" w:sz="4" w:space="0" w:color="auto"/>
            </w:tcBorders>
            <w:noWrap/>
            <w:vAlign w:val="center"/>
          </w:tcPr>
          <w:p w:rsidR="00D4483D" w:rsidRPr="007C3B55" w:rsidRDefault="00D4483D" w:rsidP="007C3B55">
            <w:pPr>
              <w:jc w:val="center"/>
            </w:pPr>
            <w:r w:rsidRPr="007C3B55">
              <w:rPr>
                <w:sz w:val="22"/>
                <w:szCs w:val="22"/>
              </w:rPr>
              <w:t>3 902</w:t>
            </w:r>
          </w:p>
        </w:tc>
      </w:tr>
      <w:tr w:rsidR="00D4483D" w:rsidRPr="007C3B55" w:rsidTr="007C3B55">
        <w:trPr>
          <w:trHeight w:val="247"/>
          <w:jc w:val="center"/>
        </w:trPr>
        <w:tc>
          <w:tcPr>
            <w:tcW w:w="2885" w:type="pct"/>
            <w:tcBorders>
              <w:top w:val="nil"/>
              <w:left w:val="single" w:sz="4" w:space="0" w:color="auto"/>
              <w:bottom w:val="single" w:sz="4" w:space="0" w:color="auto"/>
              <w:right w:val="single" w:sz="4" w:space="0" w:color="auto"/>
            </w:tcBorders>
            <w:noWrap/>
            <w:vAlign w:val="bottom"/>
          </w:tcPr>
          <w:p w:rsidR="00D4483D" w:rsidRPr="007C3B55" w:rsidRDefault="00D4483D" w:rsidP="00766CA8">
            <w:r w:rsidRPr="007C3B55">
              <w:rPr>
                <w:sz w:val="22"/>
                <w:szCs w:val="22"/>
              </w:rPr>
              <w:t>Locaux</w:t>
            </w:r>
          </w:p>
        </w:tc>
        <w:tc>
          <w:tcPr>
            <w:tcW w:w="705" w:type="pct"/>
            <w:tcBorders>
              <w:top w:val="single" w:sz="4" w:space="0" w:color="auto"/>
              <w:left w:val="single" w:sz="4" w:space="0" w:color="auto"/>
              <w:bottom w:val="single" w:sz="4" w:space="0" w:color="auto"/>
              <w:right w:val="single" w:sz="4" w:space="0" w:color="auto"/>
            </w:tcBorders>
            <w:vAlign w:val="center"/>
          </w:tcPr>
          <w:p w:rsidR="00D4483D" w:rsidRPr="007C3B55" w:rsidRDefault="00D4483D" w:rsidP="007C3B55">
            <w:pPr>
              <w:jc w:val="center"/>
            </w:pPr>
            <w:r w:rsidRPr="007C3B55">
              <w:rPr>
                <w:sz w:val="22"/>
                <w:szCs w:val="22"/>
              </w:rPr>
              <w:t>19 893</w:t>
            </w:r>
          </w:p>
        </w:tc>
        <w:tc>
          <w:tcPr>
            <w:tcW w:w="705" w:type="pct"/>
            <w:tcBorders>
              <w:top w:val="nil"/>
              <w:left w:val="nil"/>
              <w:bottom w:val="single" w:sz="4" w:space="0" w:color="auto"/>
              <w:right w:val="single" w:sz="4" w:space="0" w:color="auto"/>
            </w:tcBorders>
            <w:noWrap/>
            <w:vAlign w:val="center"/>
          </w:tcPr>
          <w:p w:rsidR="00D4483D" w:rsidRPr="007C3B55" w:rsidRDefault="00D4483D" w:rsidP="007C3B55">
            <w:pPr>
              <w:jc w:val="center"/>
            </w:pPr>
            <w:r w:rsidRPr="007C3B55">
              <w:rPr>
                <w:sz w:val="22"/>
                <w:szCs w:val="22"/>
              </w:rPr>
              <w:t>20 550</w:t>
            </w:r>
          </w:p>
        </w:tc>
        <w:tc>
          <w:tcPr>
            <w:tcW w:w="705" w:type="pct"/>
            <w:tcBorders>
              <w:top w:val="nil"/>
              <w:left w:val="nil"/>
              <w:bottom w:val="single" w:sz="4" w:space="0" w:color="auto"/>
              <w:right w:val="single" w:sz="4" w:space="0" w:color="auto"/>
            </w:tcBorders>
            <w:noWrap/>
            <w:vAlign w:val="center"/>
          </w:tcPr>
          <w:p w:rsidR="00D4483D" w:rsidRPr="007C3B55" w:rsidRDefault="00D4483D" w:rsidP="007C3B55">
            <w:pPr>
              <w:jc w:val="center"/>
            </w:pPr>
            <w:r w:rsidRPr="007C3B55">
              <w:rPr>
                <w:sz w:val="22"/>
                <w:szCs w:val="22"/>
              </w:rPr>
              <w:t>28 467</w:t>
            </w:r>
          </w:p>
        </w:tc>
      </w:tr>
      <w:tr w:rsidR="00D4483D" w:rsidRPr="007C3B55" w:rsidTr="007C3B55">
        <w:trPr>
          <w:trHeight w:val="247"/>
          <w:jc w:val="center"/>
        </w:trPr>
        <w:tc>
          <w:tcPr>
            <w:tcW w:w="2885" w:type="pct"/>
            <w:tcBorders>
              <w:top w:val="nil"/>
              <w:left w:val="single" w:sz="4" w:space="0" w:color="auto"/>
              <w:bottom w:val="single" w:sz="4" w:space="0" w:color="auto"/>
              <w:right w:val="single" w:sz="4" w:space="0" w:color="auto"/>
            </w:tcBorders>
            <w:noWrap/>
            <w:vAlign w:val="bottom"/>
          </w:tcPr>
          <w:p w:rsidR="00D4483D" w:rsidRPr="007C3B55" w:rsidRDefault="00D4483D" w:rsidP="00766CA8">
            <w:r w:rsidRPr="007C3B55">
              <w:rPr>
                <w:sz w:val="22"/>
                <w:szCs w:val="22"/>
              </w:rPr>
              <w:t>Autres</w:t>
            </w:r>
          </w:p>
        </w:tc>
        <w:tc>
          <w:tcPr>
            <w:tcW w:w="705" w:type="pct"/>
            <w:tcBorders>
              <w:top w:val="single" w:sz="4" w:space="0" w:color="auto"/>
              <w:left w:val="single" w:sz="4" w:space="0" w:color="auto"/>
              <w:bottom w:val="single" w:sz="4" w:space="0" w:color="auto"/>
              <w:right w:val="single" w:sz="4" w:space="0" w:color="auto"/>
            </w:tcBorders>
            <w:vAlign w:val="center"/>
          </w:tcPr>
          <w:p w:rsidR="00D4483D" w:rsidRPr="007C3B55" w:rsidRDefault="00D4483D" w:rsidP="007C3B55">
            <w:pPr>
              <w:jc w:val="center"/>
            </w:pPr>
            <w:r w:rsidRPr="007C3B55">
              <w:rPr>
                <w:sz w:val="22"/>
                <w:szCs w:val="22"/>
              </w:rPr>
              <w:t>-19 122</w:t>
            </w:r>
          </w:p>
        </w:tc>
        <w:tc>
          <w:tcPr>
            <w:tcW w:w="705" w:type="pct"/>
            <w:tcBorders>
              <w:top w:val="nil"/>
              <w:left w:val="nil"/>
              <w:bottom w:val="single" w:sz="4" w:space="0" w:color="auto"/>
              <w:right w:val="single" w:sz="4" w:space="0" w:color="auto"/>
            </w:tcBorders>
            <w:noWrap/>
            <w:vAlign w:val="center"/>
          </w:tcPr>
          <w:p w:rsidR="00D4483D" w:rsidRPr="007C3B55" w:rsidRDefault="00D4483D" w:rsidP="007C3B55">
            <w:pPr>
              <w:jc w:val="center"/>
            </w:pPr>
            <w:r w:rsidRPr="007C3B55">
              <w:rPr>
                <w:sz w:val="22"/>
                <w:szCs w:val="22"/>
              </w:rPr>
              <w:t>-12 999</w:t>
            </w:r>
          </w:p>
        </w:tc>
        <w:tc>
          <w:tcPr>
            <w:tcW w:w="705" w:type="pct"/>
            <w:tcBorders>
              <w:top w:val="nil"/>
              <w:left w:val="nil"/>
              <w:bottom w:val="single" w:sz="4" w:space="0" w:color="auto"/>
              <w:right w:val="single" w:sz="4" w:space="0" w:color="auto"/>
            </w:tcBorders>
            <w:noWrap/>
            <w:vAlign w:val="center"/>
          </w:tcPr>
          <w:p w:rsidR="00D4483D" w:rsidRPr="007C3B55" w:rsidRDefault="00D4483D" w:rsidP="007C3B55">
            <w:pPr>
              <w:jc w:val="center"/>
            </w:pPr>
            <w:r w:rsidRPr="007C3B55">
              <w:rPr>
                <w:sz w:val="22"/>
                <w:szCs w:val="22"/>
              </w:rPr>
              <w:t>-33 546</w:t>
            </w:r>
          </w:p>
        </w:tc>
      </w:tr>
      <w:tr w:rsidR="00D4483D" w:rsidRPr="007C3B55" w:rsidTr="007C3B55">
        <w:trPr>
          <w:trHeight w:val="247"/>
          <w:jc w:val="center"/>
        </w:trPr>
        <w:tc>
          <w:tcPr>
            <w:tcW w:w="2885" w:type="pct"/>
            <w:tcBorders>
              <w:top w:val="nil"/>
              <w:left w:val="single" w:sz="4" w:space="0" w:color="auto"/>
              <w:bottom w:val="single" w:sz="4" w:space="0" w:color="auto"/>
              <w:right w:val="single" w:sz="4" w:space="0" w:color="auto"/>
            </w:tcBorders>
            <w:noWrap/>
            <w:vAlign w:val="bottom"/>
          </w:tcPr>
          <w:p w:rsidR="00D4483D" w:rsidRPr="007C3B55" w:rsidRDefault="00D4483D" w:rsidP="00766CA8">
            <w:r w:rsidRPr="007C3B55">
              <w:rPr>
                <w:sz w:val="22"/>
                <w:szCs w:val="22"/>
              </w:rPr>
              <w:t>Contribution des services centraux et recherche</w:t>
            </w:r>
          </w:p>
        </w:tc>
        <w:tc>
          <w:tcPr>
            <w:tcW w:w="705" w:type="pct"/>
            <w:tcBorders>
              <w:top w:val="single" w:sz="4" w:space="0" w:color="auto"/>
              <w:left w:val="single" w:sz="4" w:space="0" w:color="auto"/>
              <w:bottom w:val="single" w:sz="4" w:space="0" w:color="auto"/>
              <w:right w:val="single" w:sz="4" w:space="0" w:color="auto"/>
            </w:tcBorders>
            <w:vAlign w:val="center"/>
          </w:tcPr>
          <w:p w:rsidR="00D4483D" w:rsidRPr="007C3B55" w:rsidRDefault="00D4483D" w:rsidP="007C3B55">
            <w:pPr>
              <w:jc w:val="center"/>
            </w:pPr>
            <w:r w:rsidRPr="007C3B55">
              <w:rPr>
                <w:sz w:val="22"/>
                <w:szCs w:val="22"/>
              </w:rPr>
              <w:t>30 207</w:t>
            </w:r>
          </w:p>
        </w:tc>
        <w:tc>
          <w:tcPr>
            <w:tcW w:w="705" w:type="pct"/>
            <w:tcBorders>
              <w:top w:val="nil"/>
              <w:left w:val="nil"/>
              <w:bottom w:val="single" w:sz="4" w:space="0" w:color="auto"/>
              <w:right w:val="single" w:sz="4" w:space="0" w:color="auto"/>
            </w:tcBorders>
            <w:noWrap/>
            <w:vAlign w:val="center"/>
          </w:tcPr>
          <w:p w:rsidR="00D4483D" w:rsidRPr="007C3B55" w:rsidRDefault="00D4483D" w:rsidP="007C3B55">
            <w:pPr>
              <w:jc w:val="center"/>
            </w:pPr>
            <w:r w:rsidRPr="007C3B55">
              <w:rPr>
                <w:sz w:val="22"/>
                <w:szCs w:val="22"/>
              </w:rPr>
              <w:t>27 914</w:t>
            </w:r>
          </w:p>
        </w:tc>
        <w:tc>
          <w:tcPr>
            <w:tcW w:w="705" w:type="pct"/>
            <w:tcBorders>
              <w:top w:val="nil"/>
              <w:left w:val="nil"/>
              <w:bottom w:val="single" w:sz="4" w:space="0" w:color="auto"/>
              <w:right w:val="single" w:sz="4" w:space="0" w:color="auto"/>
            </w:tcBorders>
            <w:noWrap/>
            <w:vAlign w:val="center"/>
          </w:tcPr>
          <w:p w:rsidR="00D4483D" w:rsidRPr="007C3B55" w:rsidRDefault="00D4483D" w:rsidP="007C3B55">
            <w:pPr>
              <w:jc w:val="center"/>
            </w:pPr>
            <w:r w:rsidRPr="007C3B55">
              <w:rPr>
                <w:sz w:val="22"/>
                <w:szCs w:val="22"/>
              </w:rPr>
              <w:t>37 656</w:t>
            </w:r>
          </w:p>
        </w:tc>
      </w:tr>
      <w:tr w:rsidR="00D4483D" w:rsidRPr="007C3B55" w:rsidTr="007C3B55">
        <w:trPr>
          <w:trHeight w:val="247"/>
          <w:jc w:val="center"/>
        </w:trPr>
        <w:tc>
          <w:tcPr>
            <w:tcW w:w="2885" w:type="pct"/>
            <w:tcBorders>
              <w:top w:val="nil"/>
              <w:left w:val="single" w:sz="4" w:space="0" w:color="auto"/>
              <w:bottom w:val="single" w:sz="4" w:space="0" w:color="auto"/>
              <w:right w:val="single" w:sz="4" w:space="0" w:color="auto"/>
            </w:tcBorders>
            <w:noWrap/>
            <w:vAlign w:val="bottom"/>
          </w:tcPr>
          <w:p w:rsidR="00D4483D" w:rsidRPr="007C3B55" w:rsidRDefault="00D4483D" w:rsidP="007C3B55">
            <w:r w:rsidRPr="007C3B55">
              <w:rPr>
                <w:sz w:val="22"/>
                <w:szCs w:val="22"/>
              </w:rPr>
              <w:t>Charges relatives aux renouvellements – Garantie de continuité du service</w:t>
            </w:r>
          </w:p>
        </w:tc>
        <w:tc>
          <w:tcPr>
            <w:tcW w:w="705" w:type="pct"/>
            <w:tcBorders>
              <w:top w:val="single" w:sz="4" w:space="0" w:color="auto"/>
              <w:left w:val="single" w:sz="4" w:space="0" w:color="auto"/>
              <w:bottom w:val="single" w:sz="4" w:space="0" w:color="auto"/>
              <w:right w:val="single" w:sz="4" w:space="0" w:color="auto"/>
            </w:tcBorders>
            <w:vAlign w:val="center"/>
          </w:tcPr>
          <w:p w:rsidR="00D4483D" w:rsidRPr="007C3B55" w:rsidRDefault="00D4483D" w:rsidP="007C3B55">
            <w:pPr>
              <w:jc w:val="center"/>
            </w:pPr>
            <w:r w:rsidRPr="007C3B55">
              <w:rPr>
                <w:sz w:val="22"/>
                <w:szCs w:val="22"/>
              </w:rPr>
              <w:t>23 927</w:t>
            </w:r>
          </w:p>
        </w:tc>
        <w:tc>
          <w:tcPr>
            <w:tcW w:w="705" w:type="pct"/>
            <w:tcBorders>
              <w:top w:val="nil"/>
              <w:left w:val="nil"/>
              <w:bottom w:val="single" w:sz="4" w:space="0" w:color="auto"/>
              <w:right w:val="single" w:sz="4" w:space="0" w:color="auto"/>
            </w:tcBorders>
            <w:noWrap/>
            <w:vAlign w:val="center"/>
          </w:tcPr>
          <w:p w:rsidR="00D4483D" w:rsidRPr="007C3B55" w:rsidRDefault="00D4483D" w:rsidP="007C3B55">
            <w:pPr>
              <w:jc w:val="center"/>
            </w:pPr>
            <w:r w:rsidRPr="007C3B55">
              <w:rPr>
                <w:sz w:val="22"/>
                <w:szCs w:val="22"/>
              </w:rPr>
              <w:t>23 593</w:t>
            </w:r>
          </w:p>
        </w:tc>
        <w:tc>
          <w:tcPr>
            <w:tcW w:w="705" w:type="pct"/>
            <w:tcBorders>
              <w:top w:val="nil"/>
              <w:left w:val="nil"/>
              <w:bottom w:val="single" w:sz="4" w:space="0" w:color="auto"/>
              <w:right w:val="single" w:sz="4" w:space="0" w:color="auto"/>
            </w:tcBorders>
            <w:noWrap/>
            <w:vAlign w:val="center"/>
          </w:tcPr>
          <w:p w:rsidR="00D4483D" w:rsidRPr="007C3B55" w:rsidRDefault="00D4483D" w:rsidP="007C3B55">
            <w:pPr>
              <w:jc w:val="center"/>
            </w:pPr>
            <w:r w:rsidRPr="007C3B55">
              <w:rPr>
                <w:sz w:val="22"/>
                <w:szCs w:val="22"/>
              </w:rPr>
              <w:t>15 921</w:t>
            </w:r>
          </w:p>
        </w:tc>
      </w:tr>
      <w:tr w:rsidR="00D4483D" w:rsidRPr="007C3B55" w:rsidTr="007C3B55">
        <w:trPr>
          <w:trHeight w:val="247"/>
          <w:jc w:val="center"/>
        </w:trPr>
        <w:tc>
          <w:tcPr>
            <w:tcW w:w="2885" w:type="pct"/>
            <w:tcBorders>
              <w:top w:val="nil"/>
              <w:left w:val="single" w:sz="4" w:space="0" w:color="auto"/>
              <w:bottom w:val="single" w:sz="4" w:space="0" w:color="auto"/>
              <w:right w:val="single" w:sz="4" w:space="0" w:color="auto"/>
            </w:tcBorders>
            <w:noWrap/>
            <w:vAlign w:val="bottom"/>
          </w:tcPr>
          <w:p w:rsidR="00D4483D" w:rsidRPr="007C3B55" w:rsidRDefault="00D4483D" w:rsidP="00766CA8">
            <w:r w:rsidRPr="007C3B55">
              <w:rPr>
                <w:sz w:val="22"/>
                <w:szCs w:val="22"/>
              </w:rPr>
              <w:t>Programme contractuel (investissements)</w:t>
            </w:r>
          </w:p>
        </w:tc>
        <w:tc>
          <w:tcPr>
            <w:tcW w:w="705" w:type="pct"/>
            <w:tcBorders>
              <w:top w:val="single" w:sz="4" w:space="0" w:color="auto"/>
              <w:left w:val="single" w:sz="4" w:space="0" w:color="auto"/>
              <w:bottom w:val="single" w:sz="4" w:space="0" w:color="auto"/>
              <w:right w:val="single" w:sz="4" w:space="0" w:color="auto"/>
            </w:tcBorders>
            <w:vAlign w:val="center"/>
          </w:tcPr>
          <w:p w:rsidR="00D4483D" w:rsidRPr="007C3B55" w:rsidRDefault="00D4483D" w:rsidP="007C3B55">
            <w:pPr>
              <w:jc w:val="center"/>
            </w:pPr>
            <w:r w:rsidRPr="007C3B55">
              <w:rPr>
                <w:sz w:val="22"/>
                <w:szCs w:val="22"/>
              </w:rPr>
              <w:t>603</w:t>
            </w:r>
          </w:p>
        </w:tc>
        <w:tc>
          <w:tcPr>
            <w:tcW w:w="705" w:type="pct"/>
            <w:tcBorders>
              <w:top w:val="nil"/>
              <w:left w:val="nil"/>
              <w:bottom w:val="single" w:sz="4" w:space="0" w:color="auto"/>
              <w:right w:val="single" w:sz="4" w:space="0" w:color="auto"/>
            </w:tcBorders>
            <w:noWrap/>
            <w:vAlign w:val="center"/>
          </w:tcPr>
          <w:p w:rsidR="00D4483D" w:rsidRPr="007C3B55" w:rsidRDefault="00D4483D" w:rsidP="007C3B55">
            <w:pPr>
              <w:jc w:val="center"/>
            </w:pPr>
            <w:r w:rsidRPr="007C3B55">
              <w:rPr>
                <w:sz w:val="22"/>
                <w:szCs w:val="22"/>
              </w:rPr>
              <w:t>612</w:t>
            </w:r>
          </w:p>
        </w:tc>
        <w:tc>
          <w:tcPr>
            <w:tcW w:w="705" w:type="pct"/>
            <w:tcBorders>
              <w:top w:val="nil"/>
              <w:left w:val="nil"/>
              <w:bottom w:val="single" w:sz="4" w:space="0" w:color="auto"/>
              <w:right w:val="single" w:sz="4" w:space="0" w:color="auto"/>
            </w:tcBorders>
            <w:noWrap/>
            <w:vAlign w:val="center"/>
          </w:tcPr>
          <w:p w:rsidR="00D4483D" w:rsidRPr="007C3B55" w:rsidRDefault="00D4483D" w:rsidP="007C3B55">
            <w:pPr>
              <w:jc w:val="center"/>
            </w:pPr>
            <w:r w:rsidRPr="007C3B55">
              <w:rPr>
                <w:sz w:val="22"/>
                <w:szCs w:val="22"/>
              </w:rPr>
              <w:t>621</w:t>
            </w:r>
          </w:p>
        </w:tc>
      </w:tr>
      <w:tr w:rsidR="00D4483D" w:rsidRPr="007C3B55" w:rsidTr="007C3B55">
        <w:trPr>
          <w:trHeight w:val="247"/>
          <w:jc w:val="center"/>
        </w:trPr>
        <w:tc>
          <w:tcPr>
            <w:tcW w:w="2885" w:type="pct"/>
            <w:tcBorders>
              <w:top w:val="nil"/>
              <w:left w:val="single" w:sz="4" w:space="0" w:color="auto"/>
              <w:bottom w:val="single" w:sz="4" w:space="0" w:color="auto"/>
              <w:right w:val="single" w:sz="4" w:space="0" w:color="auto"/>
            </w:tcBorders>
            <w:noWrap/>
            <w:vAlign w:val="bottom"/>
          </w:tcPr>
          <w:p w:rsidR="00D4483D" w:rsidRPr="007C3B55" w:rsidRDefault="00D4483D" w:rsidP="00766CA8">
            <w:r w:rsidRPr="007C3B55">
              <w:rPr>
                <w:sz w:val="22"/>
                <w:szCs w:val="22"/>
              </w:rPr>
              <w:t>Charges relatives aux compteurs du domaine privé</w:t>
            </w:r>
          </w:p>
        </w:tc>
        <w:tc>
          <w:tcPr>
            <w:tcW w:w="705" w:type="pct"/>
            <w:tcBorders>
              <w:top w:val="single" w:sz="4" w:space="0" w:color="auto"/>
              <w:left w:val="single" w:sz="4" w:space="0" w:color="auto"/>
              <w:bottom w:val="single" w:sz="4" w:space="0" w:color="auto"/>
              <w:right w:val="single" w:sz="4" w:space="0" w:color="auto"/>
            </w:tcBorders>
            <w:vAlign w:val="center"/>
          </w:tcPr>
          <w:p w:rsidR="00D4483D" w:rsidRPr="007C3B55" w:rsidRDefault="00D4483D" w:rsidP="007C3B55">
            <w:pPr>
              <w:jc w:val="center"/>
            </w:pPr>
            <w:r w:rsidRPr="007C3B55">
              <w:rPr>
                <w:sz w:val="22"/>
                <w:szCs w:val="22"/>
              </w:rPr>
              <w:t>8 170</w:t>
            </w:r>
          </w:p>
        </w:tc>
        <w:tc>
          <w:tcPr>
            <w:tcW w:w="705" w:type="pct"/>
            <w:tcBorders>
              <w:top w:val="nil"/>
              <w:left w:val="nil"/>
              <w:bottom w:val="single" w:sz="4" w:space="0" w:color="auto"/>
              <w:right w:val="single" w:sz="4" w:space="0" w:color="auto"/>
            </w:tcBorders>
            <w:noWrap/>
            <w:vAlign w:val="center"/>
          </w:tcPr>
          <w:p w:rsidR="00D4483D" w:rsidRPr="007C3B55" w:rsidRDefault="00D4483D" w:rsidP="007C3B55">
            <w:pPr>
              <w:jc w:val="center"/>
            </w:pPr>
            <w:r w:rsidRPr="007C3B55">
              <w:rPr>
                <w:sz w:val="22"/>
                <w:szCs w:val="22"/>
              </w:rPr>
              <w:t>7 056</w:t>
            </w:r>
          </w:p>
        </w:tc>
        <w:tc>
          <w:tcPr>
            <w:tcW w:w="705" w:type="pct"/>
            <w:tcBorders>
              <w:top w:val="nil"/>
              <w:left w:val="nil"/>
              <w:bottom w:val="single" w:sz="4" w:space="0" w:color="auto"/>
              <w:right w:val="single" w:sz="4" w:space="0" w:color="auto"/>
            </w:tcBorders>
            <w:noWrap/>
            <w:vAlign w:val="center"/>
          </w:tcPr>
          <w:p w:rsidR="00D4483D" w:rsidRPr="007C3B55" w:rsidRDefault="00D4483D" w:rsidP="007C3B55">
            <w:pPr>
              <w:jc w:val="center"/>
            </w:pPr>
            <w:r w:rsidRPr="007C3B55">
              <w:rPr>
                <w:sz w:val="22"/>
                <w:szCs w:val="22"/>
              </w:rPr>
              <w:t>9 025</w:t>
            </w:r>
          </w:p>
        </w:tc>
      </w:tr>
      <w:tr w:rsidR="00D4483D" w:rsidRPr="007C3B55" w:rsidTr="007C3B55">
        <w:trPr>
          <w:trHeight w:val="247"/>
          <w:jc w:val="center"/>
        </w:trPr>
        <w:tc>
          <w:tcPr>
            <w:tcW w:w="2885" w:type="pct"/>
            <w:tcBorders>
              <w:top w:val="nil"/>
              <w:left w:val="single" w:sz="4" w:space="0" w:color="auto"/>
              <w:bottom w:val="single" w:sz="4" w:space="0" w:color="auto"/>
              <w:right w:val="single" w:sz="4" w:space="0" w:color="auto"/>
            </w:tcBorders>
            <w:noWrap/>
            <w:vAlign w:val="bottom"/>
          </w:tcPr>
          <w:p w:rsidR="00D4483D" w:rsidRPr="007C3B55" w:rsidRDefault="00D4483D" w:rsidP="00766CA8">
            <w:r w:rsidRPr="007C3B55">
              <w:rPr>
                <w:sz w:val="22"/>
                <w:szCs w:val="22"/>
              </w:rPr>
              <w:t>Pertes sur créances irrécouvrables et contentieux…</w:t>
            </w:r>
          </w:p>
        </w:tc>
        <w:tc>
          <w:tcPr>
            <w:tcW w:w="705" w:type="pct"/>
            <w:tcBorders>
              <w:top w:val="single" w:sz="4" w:space="0" w:color="auto"/>
              <w:left w:val="single" w:sz="4" w:space="0" w:color="auto"/>
              <w:bottom w:val="single" w:sz="4" w:space="0" w:color="auto"/>
              <w:right w:val="single" w:sz="4" w:space="0" w:color="auto"/>
            </w:tcBorders>
            <w:vAlign w:val="center"/>
          </w:tcPr>
          <w:p w:rsidR="00D4483D" w:rsidRPr="007C3B55" w:rsidRDefault="00D4483D" w:rsidP="007C3B55">
            <w:pPr>
              <w:jc w:val="center"/>
            </w:pPr>
            <w:r w:rsidRPr="007C3B55">
              <w:rPr>
                <w:sz w:val="22"/>
                <w:szCs w:val="22"/>
              </w:rPr>
              <w:t>1 028</w:t>
            </w:r>
          </w:p>
        </w:tc>
        <w:tc>
          <w:tcPr>
            <w:tcW w:w="705" w:type="pct"/>
            <w:tcBorders>
              <w:top w:val="nil"/>
              <w:left w:val="nil"/>
              <w:bottom w:val="single" w:sz="4" w:space="0" w:color="auto"/>
              <w:right w:val="single" w:sz="4" w:space="0" w:color="auto"/>
            </w:tcBorders>
            <w:noWrap/>
            <w:vAlign w:val="center"/>
          </w:tcPr>
          <w:p w:rsidR="00D4483D" w:rsidRPr="007C3B55" w:rsidRDefault="00D4483D" w:rsidP="007C3B55">
            <w:pPr>
              <w:jc w:val="center"/>
            </w:pPr>
            <w:r w:rsidRPr="007C3B55">
              <w:rPr>
                <w:sz w:val="22"/>
                <w:szCs w:val="22"/>
              </w:rPr>
              <w:t>1 170</w:t>
            </w:r>
          </w:p>
        </w:tc>
        <w:tc>
          <w:tcPr>
            <w:tcW w:w="705" w:type="pct"/>
            <w:tcBorders>
              <w:top w:val="nil"/>
              <w:left w:val="nil"/>
              <w:bottom w:val="single" w:sz="4" w:space="0" w:color="auto"/>
              <w:right w:val="single" w:sz="4" w:space="0" w:color="auto"/>
            </w:tcBorders>
            <w:noWrap/>
            <w:vAlign w:val="center"/>
          </w:tcPr>
          <w:p w:rsidR="00D4483D" w:rsidRPr="007C3B55" w:rsidRDefault="00D4483D" w:rsidP="007C3B55">
            <w:pPr>
              <w:jc w:val="center"/>
            </w:pPr>
            <w:r w:rsidRPr="007C3B55">
              <w:rPr>
                <w:sz w:val="22"/>
                <w:szCs w:val="22"/>
              </w:rPr>
              <w:t>3 321</w:t>
            </w:r>
          </w:p>
        </w:tc>
      </w:tr>
      <w:tr w:rsidR="00D4483D" w:rsidRPr="007C3B55" w:rsidTr="007C3B55">
        <w:trPr>
          <w:trHeight w:val="247"/>
          <w:jc w:val="center"/>
        </w:trPr>
        <w:tc>
          <w:tcPr>
            <w:tcW w:w="2885" w:type="pct"/>
            <w:tcBorders>
              <w:top w:val="nil"/>
              <w:left w:val="single" w:sz="4" w:space="0" w:color="auto"/>
              <w:bottom w:val="single" w:sz="4" w:space="0" w:color="auto"/>
              <w:right w:val="single" w:sz="4" w:space="0" w:color="auto"/>
            </w:tcBorders>
            <w:noWrap/>
            <w:vAlign w:val="bottom"/>
          </w:tcPr>
          <w:p w:rsidR="00D4483D" w:rsidRPr="007C3B55" w:rsidRDefault="00D4483D" w:rsidP="00766CA8">
            <w:r w:rsidRPr="007C3B55">
              <w:rPr>
                <w:sz w:val="22"/>
                <w:szCs w:val="22"/>
              </w:rPr>
              <w:t> </w:t>
            </w:r>
          </w:p>
        </w:tc>
        <w:tc>
          <w:tcPr>
            <w:tcW w:w="705" w:type="pct"/>
            <w:tcBorders>
              <w:top w:val="single" w:sz="4" w:space="0" w:color="auto"/>
              <w:left w:val="single" w:sz="4" w:space="0" w:color="auto"/>
              <w:bottom w:val="single" w:sz="4" w:space="0" w:color="auto"/>
              <w:right w:val="single" w:sz="4" w:space="0" w:color="auto"/>
            </w:tcBorders>
            <w:vAlign w:val="center"/>
          </w:tcPr>
          <w:p w:rsidR="00D4483D" w:rsidRPr="007C3B55" w:rsidRDefault="00D4483D" w:rsidP="007C3B55">
            <w:pPr>
              <w:jc w:val="center"/>
            </w:pPr>
          </w:p>
        </w:tc>
        <w:tc>
          <w:tcPr>
            <w:tcW w:w="705" w:type="pct"/>
            <w:tcBorders>
              <w:top w:val="nil"/>
              <w:left w:val="nil"/>
              <w:bottom w:val="single" w:sz="4" w:space="0" w:color="auto"/>
              <w:right w:val="single" w:sz="4" w:space="0" w:color="auto"/>
            </w:tcBorders>
            <w:noWrap/>
            <w:vAlign w:val="center"/>
          </w:tcPr>
          <w:p w:rsidR="00D4483D" w:rsidRPr="007C3B55" w:rsidRDefault="00D4483D" w:rsidP="007C3B55">
            <w:pPr>
              <w:jc w:val="center"/>
            </w:pPr>
          </w:p>
        </w:tc>
        <w:tc>
          <w:tcPr>
            <w:tcW w:w="705" w:type="pct"/>
            <w:tcBorders>
              <w:top w:val="nil"/>
              <w:left w:val="nil"/>
              <w:bottom w:val="single" w:sz="4" w:space="0" w:color="auto"/>
              <w:right w:val="single" w:sz="4" w:space="0" w:color="auto"/>
            </w:tcBorders>
            <w:noWrap/>
            <w:vAlign w:val="center"/>
          </w:tcPr>
          <w:p w:rsidR="00D4483D" w:rsidRPr="007C3B55" w:rsidRDefault="00D4483D" w:rsidP="007C3B55">
            <w:pPr>
              <w:jc w:val="center"/>
            </w:pPr>
          </w:p>
        </w:tc>
      </w:tr>
      <w:tr w:rsidR="00D4483D" w:rsidRPr="007C3B55" w:rsidTr="007C3B55">
        <w:trPr>
          <w:trHeight w:val="247"/>
          <w:jc w:val="center"/>
        </w:trPr>
        <w:tc>
          <w:tcPr>
            <w:tcW w:w="2885" w:type="pct"/>
            <w:tcBorders>
              <w:top w:val="nil"/>
              <w:left w:val="single" w:sz="4" w:space="0" w:color="auto"/>
              <w:bottom w:val="single" w:sz="4" w:space="0" w:color="auto"/>
              <w:right w:val="single" w:sz="4" w:space="0" w:color="auto"/>
            </w:tcBorders>
            <w:noWrap/>
            <w:vAlign w:val="bottom"/>
          </w:tcPr>
          <w:p w:rsidR="00D4483D" w:rsidRPr="007C3B55" w:rsidRDefault="00D4483D" w:rsidP="00766CA8">
            <w:r w:rsidRPr="007C3B55">
              <w:rPr>
                <w:sz w:val="22"/>
                <w:szCs w:val="22"/>
              </w:rPr>
              <w:t>Collectivités et autres organismes publics</w:t>
            </w:r>
          </w:p>
        </w:tc>
        <w:tc>
          <w:tcPr>
            <w:tcW w:w="705" w:type="pct"/>
            <w:tcBorders>
              <w:top w:val="single" w:sz="4" w:space="0" w:color="auto"/>
              <w:left w:val="single" w:sz="4" w:space="0" w:color="auto"/>
              <w:bottom w:val="single" w:sz="4" w:space="0" w:color="auto"/>
              <w:right w:val="single" w:sz="4" w:space="0" w:color="auto"/>
            </w:tcBorders>
            <w:vAlign w:val="center"/>
          </w:tcPr>
          <w:p w:rsidR="00D4483D" w:rsidRPr="007C3B55" w:rsidRDefault="00D4483D" w:rsidP="007C3B55">
            <w:pPr>
              <w:jc w:val="center"/>
            </w:pPr>
            <w:r w:rsidRPr="007C3B55">
              <w:rPr>
                <w:sz w:val="22"/>
                <w:szCs w:val="22"/>
              </w:rPr>
              <w:t>378 042</w:t>
            </w:r>
          </w:p>
        </w:tc>
        <w:tc>
          <w:tcPr>
            <w:tcW w:w="705" w:type="pct"/>
            <w:tcBorders>
              <w:top w:val="nil"/>
              <w:left w:val="nil"/>
              <w:bottom w:val="single" w:sz="4" w:space="0" w:color="auto"/>
              <w:right w:val="single" w:sz="4" w:space="0" w:color="auto"/>
            </w:tcBorders>
            <w:noWrap/>
            <w:vAlign w:val="center"/>
          </w:tcPr>
          <w:p w:rsidR="00D4483D" w:rsidRPr="007C3B55" w:rsidRDefault="00D4483D" w:rsidP="007C3B55">
            <w:pPr>
              <w:jc w:val="center"/>
            </w:pPr>
            <w:r w:rsidRPr="007C3B55">
              <w:rPr>
                <w:sz w:val="22"/>
                <w:szCs w:val="22"/>
              </w:rPr>
              <w:t>269 879</w:t>
            </w:r>
          </w:p>
        </w:tc>
        <w:tc>
          <w:tcPr>
            <w:tcW w:w="705" w:type="pct"/>
            <w:tcBorders>
              <w:top w:val="nil"/>
              <w:left w:val="nil"/>
              <w:bottom w:val="single" w:sz="4" w:space="0" w:color="auto"/>
              <w:right w:val="single" w:sz="4" w:space="0" w:color="auto"/>
            </w:tcBorders>
            <w:noWrap/>
            <w:vAlign w:val="center"/>
          </w:tcPr>
          <w:p w:rsidR="00D4483D" w:rsidRPr="007C3B55" w:rsidRDefault="00D4483D" w:rsidP="007C3B55">
            <w:pPr>
              <w:jc w:val="center"/>
            </w:pPr>
            <w:r w:rsidRPr="007C3B55">
              <w:rPr>
                <w:sz w:val="22"/>
                <w:szCs w:val="22"/>
              </w:rPr>
              <w:t>272 161</w:t>
            </w:r>
          </w:p>
        </w:tc>
      </w:tr>
      <w:tr w:rsidR="00D4483D" w:rsidRPr="007C3B55" w:rsidTr="007C3B55">
        <w:trPr>
          <w:trHeight w:val="247"/>
          <w:jc w:val="center"/>
        </w:trPr>
        <w:tc>
          <w:tcPr>
            <w:tcW w:w="2885" w:type="pct"/>
            <w:tcBorders>
              <w:top w:val="nil"/>
              <w:left w:val="single" w:sz="4" w:space="0" w:color="auto"/>
              <w:bottom w:val="single" w:sz="4" w:space="0" w:color="auto"/>
              <w:right w:val="single" w:sz="4" w:space="0" w:color="auto"/>
            </w:tcBorders>
            <w:shd w:val="clear" w:color="000000" w:fill="D8D8D8"/>
            <w:noWrap/>
            <w:vAlign w:val="bottom"/>
          </w:tcPr>
          <w:p w:rsidR="00D4483D" w:rsidRPr="007C3B55" w:rsidRDefault="00D4483D" w:rsidP="00766CA8">
            <w:pPr>
              <w:rPr>
                <w:b/>
                <w:bCs/>
              </w:rPr>
            </w:pPr>
            <w:r w:rsidRPr="007C3B55">
              <w:rPr>
                <w:b/>
                <w:bCs/>
                <w:sz w:val="22"/>
                <w:szCs w:val="22"/>
              </w:rPr>
              <w:t>Résultat avant impôt</w:t>
            </w:r>
          </w:p>
        </w:tc>
        <w:tc>
          <w:tcPr>
            <w:tcW w:w="705" w:type="pct"/>
            <w:tcBorders>
              <w:top w:val="single" w:sz="4" w:space="0" w:color="auto"/>
              <w:left w:val="single" w:sz="4" w:space="0" w:color="auto"/>
              <w:bottom w:val="single" w:sz="4" w:space="0" w:color="auto"/>
              <w:right w:val="single" w:sz="4" w:space="0" w:color="auto"/>
            </w:tcBorders>
            <w:shd w:val="clear" w:color="000000" w:fill="D8D8D8"/>
            <w:vAlign w:val="center"/>
          </w:tcPr>
          <w:p w:rsidR="00D4483D" w:rsidRPr="007C3B55" w:rsidRDefault="00D4483D" w:rsidP="007C3B55">
            <w:pPr>
              <w:jc w:val="center"/>
              <w:rPr>
                <w:b/>
              </w:rPr>
            </w:pPr>
            <w:r w:rsidRPr="007C3B55">
              <w:rPr>
                <w:b/>
                <w:sz w:val="22"/>
                <w:szCs w:val="22"/>
              </w:rPr>
              <w:t>5 678</w:t>
            </w:r>
          </w:p>
        </w:tc>
        <w:tc>
          <w:tcPr>
            <w:tcW w:w="705" w:type="pct"/>
            <w:tcBorders>
              <w:top w:val="nil"/>
              <w:left w:val="nil"/>
              <w:bottom w:val="single" w:sz="4" w:space="0" w:color="auto"/>
              <w:right w:val="single" w:sz="4" w:space="0" w:color="auto"/>
            </w:tcBorders>
            <w:shd w:val="clear" w:color="000000" w:fill="D8D8D8"/>
            <w:noWrap/>
            <w:vAlign w:val="center"/>
          </w:tcPr>
          <w:p w:rsidR="00D4483D" w:rsidRPr="007C3B55" w:rsidRDefault="00D4483D" w:rsidP="007C3B55">
            <w:pPr>
              <w:jc w:val="center"/>
              <w:rPr>
                <w:b/>
              </w:rPr>
            </w:pPr>
            <w:r w:rsidRPr="007C3B55">
              <w:rPr>
                <w:b/>
                <w:sz w:val="22"/>
                <w:szCs w:val="22"/>
              </w:rPr>
              <w:t>-26 943</w:t>
            </w:r>
          </w:p>
        </w:tc>
        <w:tc>
          <w:tcPr>
            <w:tcW w:w="705" w:type="pct"/>
            <w:tcBorders>
              <w:top w:val="nil"/>
              <w:left w:val="nil"/>
              <w:bottom w:val="single" w:sz="4" w:space="0" w:color="auto"/>
              <w:right w:val="single" w:sz="4" w:space="0" w:color="auto"/>
            </w:tcBorders>
            <w:shd w:val="clear" w:color="000000" w:fill="D8D8D8"/>
            <w:noWrap/>
            <w:vAlign w:val="center"/>
          </w:tcPr>
          <w:p w:rsidR="00D4483D" w:rsidRPr="007C3B55" w:rsidRDefault="00D4483D" w:rsidP="007C3B55">
            <w:pPr>
              <w:jc w:val="center"/>
              <w:rPr>
                <w:b/>
              </w:rPr>
            </w:pPr>
            <w:r w:rsidRPr="007C3B55">
              <w:rPr>
                <w:b/>
                <w:sz w:val="22"/>
                <w:szCs w:val="22"/>
              </w:rPr>
              <w:t>-82 449</w:t>
            </w:r>
          </w:p>
        </w:tc>
      </w:tr>
      <w:tr w:rsidR="00D4483D" w:rsidRPr="00D62CDC" w:rsidTr="007C3B55">
        <w:trPr>
          <w:trHeight w:val="70"/>
          <w:jc w:val="center"/>
        </w:trPr>
        <w:tc>
          <w:tcPr>
            <w:tcW w:w="2885" w:type="pct"/>
            <w:tcBorders>
              <w:top w:val="single" w:sz="4" w:space="0" w:color="auto"/>
              <w:left w:val="single" w:sz="4" w:space="0" w:color="auto"/>
              <w:bottom w:val="single" w:sz="4" w:space="0" w:color="auto"/>
              <w:right w:val="single" w:sz="4" w:space="0" w:color="auto"/>
            </w:tcBorders>
            <w:shd w:val="clear" w:color="auto" w:fill="D9D9D9"/>
            <w:noWrap/>
            <w:vAlign w:val="bottom"/>
          </w:tcPr>
          <w:p w:rsidR="00D4483D" w:rsidRPr="007C3B55" w:rsidRDefault="00D4483D" w:rsidP="00766CA8">
            <w:pPr>
              <w:rPr>
                <w:b/>
                <w:bCs/>
              </w:rPr>
            </w:pPr>
            <w:r w:rsidRPr="007C3B55">
              <w:rPr>
                <w:b/>
                <w:bCs/>
                <w:sz w:val="22"/>
                <w:szCs w:val="22"/>
              </w:rPr>
              <w:t>% des produits hors tiers</w:t>
            </w:r>
          </w:p>
        </w:tc>
        <w:tc>
          <w:tcPr>
            <w:tcW w:w="705" w:type="pct"/>
            <w:tcBorders>
              <w:top w:val="single" w:sz="4" w:space="0" w:color="auto"/>
              <w:left w:val="single" w:sz="4" w:space="0" w:color="auto"/>
              <w:bottom w:val="single" w:sz="4" w:space="0" w:color="auto"/>
              <w:right w:val="single" w:sz="4" w:space="0" w:color="auto"/>
            </w:tcBorders>
            <w:shd w:val="clear" w:color="auto" w:fill="D9D9D9"/>
            <w:vAlign w:val="center"/>
          </w:tcPr>
          <w:p w:rsidR="00D4483D" w:rsidRPr="007C3B55" w:rsidRDefault="00D4483D" w:rsidP="007C3B55">
            <w:pPr>
              <w:jc w:val="center"/>
              <w:rPr>
                <w:b/>
              </w:rPr>
            </w:pPr>
            <w:r w:rsidRPr="007C3B55">
              <w:rPr>
                <w:b/>
                <w:sz w:val="22"/>
                <w:szCs w:val="22"/>
              </w:rPr>
              <w:t>1 %</w:t>
            </w:r>
          </w:p>
        </w:tc>
        <w:tc>
          <w:tcPr>
            <w:tcW w:w="705" w:type="pct"/>
            <w:tcBorders>
              <w:top w:val="single" w:sz="4" w:space="0" w:color="auto"/>
              <w:left w:val="nil"/>
              <w:bottom w:val="single" w:sz="4" w:space="0" w:color="auto"/>
              <w:right w:val="single" w:sz="4" w:space="0" w:color="auto"/>
            </w:tcBorders>
            <w:shd w:val="clear" w:color="auto" w:fill="D9D9D9"/>
            <w:noWrap/>
            <w:vAlign w:val="center"/>
          </w:tcPr>
          <w:p w:rsidR="00D4483D" w:rsidRPr="007C3B55" w:rsidRDefault="00D4483D" w:rsidP="007C3B55">
            <w:pPr>
              <w:jc w:val="center"/>
              <w:rPr>
                <w:b/>
              </w:rPr>
            </w:pPr>
            <w:r w:rsidRPr="007C3B55">
              <w:rPr>
                <w:b/>
                <w:sz w:val="22"/>
                <w:szCs w:val="22"/>
              </w:rPr>
              <w:t>-</w:t>
            </w:r>
          </w:p>
        </w:tc>
        <w:tc>
          <w:tcPr>
            <w:tcW w:w="705" w:type="pct"/>
            <w:tcBorders>
              <w:top w:val="single" w:sz="4" w:space="0" w:color="auto"/>
              <w:left w:val="nil"/>
              <w:bottom w:val="single" w:sz="4" w:space="0" w:color="auto"/>
              <w:right w:val="single" w:sz="4" w:space="0" w:color="auto"/>
            </w:tcBorders>
            <w:shd w:val="clear" w:color="auto" w:fill="D9D9D9"/>
            <w:noWrap/>
            <w:vAlign w:val="center"/>
          </w:tcPr>
          <w:p w:rsidR="00D4483D" w:rsidRPr="007C3B55" w:rsidRDefault="00D4483D" w:rsidP="007C3B55">
            <w:pPr>
              <w:jc w:val="center"/>
              <w:rPr>
                <w:b/>
              </w:rPr>
            </w:pPr>
            <w:r w:rsidRPr="007C3B55">
              <w:rPr>
                <w:b/>
                <w:sz w:val="22"/>
                <w:szCs w:val="22"/>
              </w:rPr>
              <w:t>-</w:t>
            </w:r>
          </w:p>
        </w:tc>
      </w:tr>
    </w:tbl>
    <w:p w:rsidR="00D4483D" w:rsidRDefault="00D4483D" w:rsidP="00BB1816">
      <w:pPr>
        <w:rPr>
          <w:highlight w:val="yellow"/>
        </w:rPr>
      </w:pPr>
    </w:p>
    <w:p w:rsidR="00D4483D" w:rsidRPr="00FD5EE5" w:rsidRDefault="00D4483D" w:rsidP="00BB1816">
      <w:pPr>
        <w:rPr>
          <w:highlight w:val="yellow"/>
        </w:rPr>
      </w:pPr>
    </w:p>
    <w:p w:rsidR="00D4483D" w:rsidRDefault="00D4483D" w:rsidP="002A51B6">
      <w:pPr>
        <w:jc w:val="center"/>
        <w:rPr>
          <w:noProof/>
          <w:highlight w:val="yellow"/>
        </w:rPr>
      </w:pPr>
      <w:r w:rsidRPr="00592B84">
        <w:rPr>
          <w:noProof/>
        </w:rPr>
        <w:pict>
          <v:shape id="Image 5" o:spid="_x0000_i1036" type="#_x0000_t75" style="width:456.75pt;height:218.25pt;visibility:visible">
            <v:imagedata r:id="rId23" o:title=""/>
          </v:shape>
        </w:pict>
      </w:r>
    </w:p>
    <w:p w:rsidR="00D4483D" w:rsidRPr="00FD5EE5" w:rsidRDefault="00D4483D" w:rsidP="002A51B6">
      <w:pPr>
        <w:jc w:val="center"/>
        <w:rPr>
          <w:noProof/>
          <w:highlight w:val="yellow"/>
        </w:rPr>
      </w:pPr>
    </w:p>
    <w:p w:rsidR="00D4483D" w:rsidRDefault="00D4483D" w:rsidP="00E2492E">
      <w:pPr>
        <w:jc w:val="both"/>
      </w:pPr>
      <w:r w:rsidRPr="007C3B55">
        <w:t>Le Délégataire présente un compte-rendu déficitaire</w:t>
      </w:r>
      <w:r>
        <w:t xml:space="preserve"> suite à une augmentation conséquente des charges réparties du service</w:t>
      </w:r>
      <w:r w:rsidRPr="007C3B55">
        <w:t>.</w:t>
      </w:r>
      <w:r>
        <w:t xml:space="preserve"> Il ne s’agit donc pas du reflet de l’évolution des coûts directement induits par l’exploitation du service.</w:t>
      </w:r>
    </w:p>
    <w:p w:rsidR="00D4483D" w:rsidRPr="002A0443" w:rsidRDefault="00D4483D" w:rsidP="00E2492E">
      <w:pPr>
        <w:jc w:val="both"/>
      </w:pPr>
    </w:p>
    <w:p w:rsidR="00D4483D" w:rsidRPr="002A0443" w:rsidRDefault="00D4483D" w:rsidP="00BB1816"/>
    <w:p w:rsidR="00D4483D" w:rsidRPr="002A51B6" w:rsidRDefault="00D4483D" w:rsidP="00BB1816"/>
    <w:p w:rsidR="00D4483D" w:rsidRDefault="00D4483D">
      <w:pPr>
        <w:spacing w:after="200" w:line="276" w:lineRule="auto"/>
        <w:rPr>
          <w:b/>
          <w:u w:val="single"/>
        </w:rPr>
      </w:pPr>
      <w:bookmarkStart w:id="25" w:name="_Toc155774613"/>
      <w:bookmarkStart w:id="26" w:name="_Toc237157619"/>
      <w:bookmarkStart w:id="27" w:name="_Toc305078719"/>
      <w:r>
        <w:rPr>
          <w:b/>
          <w:u w:val="single"/>
        </w:rPr>
        <w:br w:type="page"/>
      </w:r>
    </w:p>
    <w:p w:rsidR="00D4483D" w:rsidRPr="0083660C" w:rsidRDefault="00D4483D" w:rsidP="00F434FA">
      <w:pPr>
        <w:pStyle w:val="ListParagraph"/>
        <w:numPr>
          <w:ilvl w:val="0"/>
          <w:numId w:val="13"/>
        </w:numPr>
        <w:jc w:val="both"/>
        <w:rPr>
          <w:b/>
          <w:u w:val="single"/>
        </w:rPr>
      </w:pPr>
      <w:r w:rsidRPr="0083660C">
        <w:rPr>
          <w:b/>
          <w:u w:val="single"/>
        </w:rPr>
        <w:t>Méthode d’affectation des produits et des charges</w:t>
      </w:r>
      <w:bookmarkEnd w:id="25"/>
      <w:bookmarkEnd w:id="26"/>
      <w:bookmarkEnd w:id="27"/>
    </w:p>
    <w:p w:rsidR="00D4483D" w:rsidRPr="0083660C" w:rsidRDefault="00D4483D" w:rsidP="00B43881">
      <w:pPr>
        <w:jc w:val="both"/>
      </w:pPr>
    </w:p>
    <w:p w:rsidR="00D4483D" w:rsidRPr="0083660C" w:rsidRDefault="00D4483D" w:rsidP="00BB1816">
      <w:pPr>
        <w:pStyle w:val="yndicatde"/>
        <w:widowControl/>
        <w:numPr>
          <w:ilvl w:val="0"/>
          <w:numId w:val="0"/>
        </w:numPr>
        <w:rPr>
          <w:szCs w:val="24"/>
        </w:rPr>
      </w:pPr>
      <w:r w:rsidRPr="0083660C">
        <w:rPr>
          <w:b/>
          <w:szCs w:val="24"/>
        </w:rPr>
        <w:t xml:space="preserve">L’ensemble des produits </w:t>
      </w:r>
      <w:r w:rsidRPr="0083660C">
        <w:rPr>
          <w:szCs w:val="24"/>
        </w:rPr>
        <w:t xml:space="preserve">de vente d’eau est affecté directement au contrat ainsi que les produits pour travaux exclusifs et les produits pour prestations accessoires. </w:t>
      </w:r>
    </w:p>
    <w:p w:rsidR="00D4483D" w:rsidRPr="0083660C" w:rsidRDefault="00D4483D" w:rsidP="00BB1816">
      <w:pPr>
        <w:pStyle w:val="yndicatde"/>
        <w:widowControl/>
        <w:numPr>
          <w:ilvl w:val="0"/>
          <w:numId w:val="0"/>
        </w:numPr>
        <w:rPr>
          <w:szCs w:val="24"/>
        </w:rPr>
      </w:pPr>
    </w:p>
    <w:p w:rsidR="00D4483D" w:rsidRPr="0083660C" w:rsidRDefault="00D4483D" w:rsidP="00BB1816">
      <w:pPr>
        <w:pStyle w:val="yndicatde"/>
        <w:widowControl/>
        <w:numPr>
          <w:ilvl w:val="0"/>
          <w:numId w:val="0"/>
        </w:numPr>
        <w:rPr>
          <w:szCs w:val="24"/>
        </w:rPr>
      </w:pPr>
      <w:r w:rsidRPr="0083660C">
        <w:rPr>
          <w:szCs w:val="24"/>
        </w:rPr>
        <w:t xml:space="preserve">Les produits et charges pour </w:t>
      </w:r>
      <w:r w:rsidRPr="0083660C">
        <w:rPr>
          <w:b/>
          <w:szCs w:val="24"/>
        </w:rPr>
        <w:t>comptes de tiers</w:t>
      </w:r>
      <w:r w:rsidRPr="0083660C">
        <w:rPr>
          <w:szCs w:val="24"/>
        </w:rPr>
        <w:t xml:space="preserve"> sont affectés pour des montants identiques en produits et en charges.</w:t>
      </w:r>
    </w:p>
    <w:p w:rsidR="00D4483D" w:rsidRPr="0083660C" w:rsidRDefault="00D4483D" w:rsidP="00BB1816">
      <w:pPr>
        <w:pStyle w:val="yndicatde"/>
        <w:widowControl/>
        <w:numPr>
          <w:ilvl w:val="0"/>
          <w:numId w:val="0"/>
        </w:numPr>
        <w:rPr>
          <w:bCs/>
          <w:szCs w:val="24"/>
        </w:rPr>
      </w:pPr>
    </w:p>
    <w:p w:rsidR="00D4483D" w:rsidRPr="0083660C" w:rsidRDefault="00D4483D" w:rsidP="00BB1816">
      <w:pPr>
        <w:pStyle w:val="yndicatde"/>
        <w:widowControl/>
        <w:numPr>
          <w:ilvl w:val="0"/>
          <w:numId w:val="0"/>
        </w:numPr>
        <w:rPr>
          <w:bCs/>
          <w:szCs w:val="24"/>
        </w:rPr>
      </w:pPr>
    </w:p>
    <w:p w:rsidR="00D4483D" w:rsidRPr="0083660C" w:rsidRDefault="00D4483D" w:rsidP="00BB1816">
      <w:pPr>
        <w:pStyle w:val="yndicatde"/>
        <w:widowControl/>
        <w:numPr>
          <w:ilvl w:val="0"/>
          <w:numId w:val="0"/>
        </w:numPr>
        <w:rPr>
          <w:bCs/>
          <w:szCs w:val="24"/>
        </w:rPr>
      </w:pPr>
      <w:r w:rsidRPr="0083660C">
        <w:rPr>
          <w:b/>
          <w:szCs w:val="24"/>
        </w:rPr>
        <w:t>Pour les charges</w:t>
      </w:r>
      <w:r w:rsidRPr="0083660C">
        <w:rPr>
          <w:bCs/>
          <w:szCs w:val="24"/>
        </w:rPr>
        <w:t>, on distingue trois catégories :</w:t>
      </w:r>
    </w:p>
    <w:p w:rsidR="00D4483D" w:rsidRPr="0083660C" w:rsidRDefault="00D4483D" w:rsidP="00BB1816">
      <w:pPr>
        <w:pStyle w:val="yndicatde"/>
        <w:widowControl/>
        <w:numPr>
          <w:ilvl w:val="0"/>
          <w:numId w:val="0"/>
        </w:numPr>
        <w:rPr>
          <w:bCs/>
          <w:szCs w:val="24"/>
        </w:rPr>
      </w:pPr>
    </w:p>
    <w:p w:rsidR="00D4483D" w:rsidRPr="0083660C" w:rsidRDefault="00D4483D" w:rsidP="00F434FA">
      <w:pPr>
        <w:pStyle w:val="yndicatde"/>
        <w:widowControl/>
        <w:numPr>
          <w:ilvl w:val="0"/>
          <w:numId w:val="14"/>
        </w:numPr>
        <w:rPr>
          <w:bCs/>
          <w:szCs w:val="24"/>
        </w:rPr>
      </w:pPr>
      <w:r w:rsidRPr="0083660C">
        <w:rPr>
          <w:bCs/>
          <w:szCs w:val="24"/>
        </w:rPr>
        <w:t>les charges directes, qui correspondent à des charges d’exploitation affectées au contrat,</w:t>
      </w:r>
    </w:p>
    <w:p w:rsidR="00D4483D" w:rsidRPr="0083660C" w:rsidRDefault="00D4483D" w:rsidP="00BB1816">
      <w:pPr>
        <w:pStyle w:val="yndicatde"/>
        <w:widowControl/>
        <w:numPr>
          <w:ilvl w:val="0"/>
          <w:numId w:val="0"/>
        </w:numPr>
        <w:ind w:left="705"/>
        <w:rPr>
          <w:bCs/>
          <w:szCs w:val="24"/>
        </w:rPr>
      </w:pPr>
    </w:p>
    <w:p w:rsidR="00D4483D" w:rsidRPr="0083660C" w:rsidRDefault="00D4483D" w:rsidP="00F434FA">
      <w:pPr>
        <w:pStyle w:val="yndicatde"/>
        <w:widowControl/>
        <w:numPr>
          <w:ilvl w:val="0"/>
          <w:numId w:val="14"/>
        </w:numPr>
        <w:rPr>
          <w:bCs/>
          <w:szCs w:val="24"/>
        </w:rPr>
      </w:pPr>
      <w:r w:rsidRPr="0083660C">
        <w:rPr>
          <w:bCs/>
          <w:szCs w:val="24"/>
        </w:rPr>
        <w:t>les charges calculées, qui correspondent à des charges dont le montant résulte d’un calcul propre au contrat et ne correspondent pas à une charge effective de l’exercice (provision, amortissement, redevance contractuelle),</w:t>
      </w:r>
    </w:p>
    <w:p w:rsidR="00D4483D" w:rsidRPr="0083660C" w:rsidRDefault="00D4483D" w:rsidP="00BB1816">
      <w:pPr>
        <w:pStyle w:val="yndicatde"/>
        <w:widowControl/>
        <w:numPr>
          <w:ilvl w:val="0"/>
          <w:numId w:val="0"/>
        </w:numPr>
        <w:ind w:left="705"/>
        <w:rPr>
          <w:bCs/>
          <w:szCs w:val="24"/>
        </w:rPr>
      </w:pPr>
    </w:p>
    <w:p w:rsidR="00D4483D" w:rsidRPr="0083660C" w:rsidRDefault="00D4483D" w:rsidP="00F434FA">
      <w:pPr>
        <w:pStyle w:val="yndicatde"/>
        <w:widowControl/>
        <w:numPr>
          <w:ilvl w:val="0"/>
          <w:numId w:val="14"/>
        </w:numPr>
        <w:rPr>
          <w:bCs/>
          <w:szCs w:val="24"/>
        </w:rPr>
      </w:pPr>
      <w:r w:rsidRPr="0083660C">
        <w:rPr>
          <w:bCs/>
          <w:szCs w:val="24"/>
        </w:rPr>
        <w:t>les charges réparties, comptabilisées à un niveau plus large que le contrat puis réparties entre les différents comptes rendus financiers au moyen de clés de répartition.</w:t>
      </w:r>
    </w:p>
    <w:p w:rsidR="00D4483D" w:rsidRDefault="00D4483D">
      <w:pPr>
        <w:spacing w:after="200" w:line="276" w:lineRule="auto"/>
        <w:rPr>
          <w:rFonts w:cs="Arial"/>
          <w:b/>
          <w:bCs/>
          <w:iCs/>
          <w:sz w:val="26"/>
          <w:szCs w:val="26"/>
          <w:u w:val="single"/>
        </w:rPr>
      </w:pPr>
    </w:p>
    <w:p w:rsidR="00D4483D" w:rsidRDefault="00D4483D">
      <w:pPr>
        <w:spacing w:after="200" w:line="276" w:lineRule="auto"/>
        <w:rPr>
          <w:rFonts w:cs="Arial"/>
          <w:b/>
          <w:bCs/>
          <w:iCs/>
          <w:sz w:val="26"/>
          <w:szCs w:val="26"/>
          <w:u w:val="single"/>
        </w:rPr>
      </w:pPr>
      <w:r>
        <w:br w:type="page"/>
      </w:r>
    </w:p>
    <w:p w:rsidR="00D4483D" w:rsidRPr="006D407E" w:rsidRDefault="00D4483D" w:rsidP="000914B0">
      <w:pPr>
        <w:pStyle w:val="Heading2"/>
        <w:numPr>
          <w:ilvl w:val="1"/>
          <w:numId w:val="6"/>
        </w:numPr>
        <w:tabs>
          <w:tab w:val="clear" w:pos="851"/>
          <w:tab w:val="num" w:pos="993"/>
        </w:tabs>
      </w:pPr>
      <w:bookmarkStart w:id="28" w:name="_Toc367105227"/>
      <w:r>
        <w:t>Charges du service</w:t>
      </w:r>
      <w:bookmarkEnd w:id="28"/>
    </w:p>
    <w:p w:rsidR="00D4483D" w:rsidRDefault="00D4483D" w:rsidP="00BB1816">
      <w:pPr>
        <w:pStyle w:val="yndicatde"/>
        <w:widowControl/>
        <w:numPr>
          <w:ilvl w:val="0"/>
          <w:numId w:val="0"/>
        </w:numPr>
        <w:rPr>
          <w:bCs/>
          <w:szCs w:val="24"/>
          <w:highlight w:val="yellow"/>
        </w:rPr>
      </w:pPr>
    </w:p>
    <w:p w:rsidR="00D4483D" w:rsidRPr="0083660C" w:rsidRDefault="00D4483D" w:rsidP="00BB1816">
      <w:pPr>
        <w:pStyle w:val="yndicatde"/>
        <w:widowControl/>
        <w:numPr>
          <w:ilvl w:val="0"/>
          <w:numId w:val="0"/>
        </w:numPr>
        <w:rPr>
          <w:bCs/>
          <w:szCs w:val="24"/>
        </w:rPr>
      </w:pPr>
      <w:r w:rsidRPr="0083660C">
        <w:rPr>
          <w:bCs/>
          <w:szCs w:val="24"/>
        </w:rPr>
        <w:t>La répartition des charges par type est la suivante :</w:t>
      </w:r>
    </w:p>
    <w:p w:rsidR="00D4483D" w:rsidRPr="0083660C" w:rsidRDefault="00D4483D" w:rsidP="00F341DF">
      <w:pPr>
        <w:jc w:val="center"/>
      </w:pPr>
    </w:p>
    <w:p w:rsidR="00D4483D" w:rsidRPr="00BB587E" w:rsidRDefault="00D4483D" w:rsidP="00F341DF">
      <w:pPr>
        <w:jc w:val="center"/>
        <w:rPr>
          <w:highlight w:val="yellow"/>
        </w:rPr>
      </w:pPr>
      <w:r w:rsidRPr="00592B84">
        <w:rPr>
          <w:noProof/>
        </w:rPr>
        <w:pict>
          <v:shape id="_x0000_i1037" type="#_x0000_t75" style="width:375.75pt;height:219.75pt;visibility:visible">
            <v:imagedata r:id="rId24" o:title=""/>
          </v:shape>
        </w:pict>
      </w:r>
    </w:p>
    <w:p w:rsidR="00D4483D" w:rsidRPr="0083660C" w:rsidRDefault="00D4483D" w:rsidP="005E56AE"/>
    <w:p w:rsidR="00D4483D" w:rsidRPr="0083660C" w:rsidRDefault="00D4483D" w:rsidP="005E56AE">
      <w:pPr>
        <w:jc w:val="both"/>
      </w:pPr>
      <w:r>
        <w:t>L</w:t>
      </w:r>
      <w:r w:rsidRPr="0083660C">
        <w:t>es charges sont constituées</w:t>
      </w:r>
      <w:r>
        <w:t>,</w:t>
      </w:r>
      <w:r w:rsidRPr="0083660C">
        <w:t xml:space="preserve"> pour plus de la moitié</w:t>
      </w:r>
      <w:r>
        <w:t>,</w:t>
      </w:r>
      <w:r w:rsidRPr="0083660C">
        <w:t xml:space="preserve"> des charges de personnel (52%) et réparties ensuite sur les autres postes. </w:t>
      </w:r>
    </w:p>
    <w:p w:rsidR="00D4483D" w:rsidRDefault="00D4483D" w:rsidP="00F341DF">
      <w:pPr>
        <w:rPr>
          <w:sz w:val="16"/>
          <w:szCs w:val="16"/>
        </w:rPr>
      </w:pPr>
    </w:p>
    <w:p w:rsidR="00D4483D" w:rsidRPr="005E56AE" w:rsidRDefault="00D4483D" w:rsidP="00F341DF">
      <w:pPr>
        <w:rPr>
          <w:sz w:val="16"/>
          <w:szCs w:val="16"/>
        </w:rPr>
      </w:pPr>
    </w:p>
    <w:p w:rsidR="00D4483D" w:rsidRPr="00576C60" w:rsidRDefault="00D4483D" w:rsidP="00BB1816">
      <w:pPr>
        <w:pStyle w:val="yndicatde"/>
        <w:widowControl/>
        <w:numPr>
          <w:ilvl w:val="0"/>
          <w:numId w:val="0"/>
        </w:numPr>
        <w:rPr>
          <w:bCs/>
          <w:szCs w:val="24"/>
        </w:rPr>
      </w:pPr>
      <w:r w:rsidRPr="00576C60">
        <w:rPr>
          <w:bCs/>
          <w:szCs w:val="24"/>
        </w:rPr>
        <w:t>Le tableau ci-après présente la décomposition des charges du compte d’exploitation remise par le Délégataire par nature d’affectation (hors comptes de tiers).</w:t>
      </w:r>
    </w:p>
    <w:p w:rsidR="00D4483D" w:rsidRPr="00BB587E" w:rsidRDefault="00D4483D" w:rsidP="006D407E">
      <w:pPr>
        <w:jc w:val="both"/>
        <w:rPr>
          <w:szCs w:val="16"/>
          <w:highlight w:val="yellow"/>
        </w:rPr>
      </w:pPr>
    </w:p>
    <w:tbl>
      <w:tblPr>
        <w:tblW w:w="5000" w:type="pct"/>
        <w:tblLayout w:type="fixed"/>
        <w:tblCellMar>
          <w:left w:w="70" w:type="dxa"/>
          <w:right w:w="70" w:type="dxa"/>
        </w:tblCellMar>
        <w:tblLook w:val="00A0"/>
      </w:tblPr>
      <w:tblGrid>
        <w:gridCol w:w="2823"/>
        <w:gridCol w:w="1599"/>
        <w:gridCol w:w="1597"/>
        <w:gridCol w:w="1597"/>
        <w:gridCol w:w="1596"/>
      </w:tblGrid>
      <w:tr w:rsidR="00D4483D" w:rsidRPr="00576C60" w:rsidTr="00576C60">
        <w:trPr>
          <w:trHeight w:val="246"/>
        </w:trPr>
        <w:tc>
          <w:tcPr>
            <w:tcW w:w="1532" w:type="pct"/>
            <w:tcBorders>
              <w:top w:val="nil"/>
              <w:left w:val="nil"/>
              <w:bottom w:val="nil"/>
              <w:right w:val="nil"/>
            </w:tcBorders>
            <w:noWrap/>
            <w:vAlign w:val="center"/>
          </w:tcPr>
          <w:p w:rsidR="00D4483D" w:rsidRPr="00576C60" w:rsidRDefault="00D4483D" w:rsidP="005A1E3F">
            <w:pPr>
              <w:rPr>
                <w:rFonts w:ascii="Arial" w:hAnsi="Arial" w:cs="Arial"/>
                <w:sz w:val="20"/>
                <w:szCs w:val="20"/>
              </w:rPr>
            </w:pPr>
          </w:p>
        </w:tc>
        <w:tc>
          <w:tcPr>
            <w:tcW w:w="1735" w:type="pct"/>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D4483D" w:rsidRPr="00576C60" w:rsidRDefault="00D4483D" w:rsidP="00576C60">
            <w:pPr>
              <w:jc w:val="center"/>
              <w:rPr>
                <w:b/>
                <w:color w:val="000000"/>
              </w:rPr>
            </w:pPr>
            <w:r w:rsidRPr="00576C60">
              <w:rPr>
                <w:b/>
                <w:color w:val="000000"/>
                <w:sz w:val="22"/>
                <w:szCs w:val="22"/>
              </w:rPr>
              <w:t>2011</w:t>
            </w:r>
          </w:p>
        </w:tc>
        <w:tc>
          <w:tcPr>
            <w:tcW w:w="1734"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4483D" w:rsidRPr="00576C60" w:rsidRDefault="00D4483D" w:rsidP="00576C60">
            <w:pPr>
              <w:jc w:val="center"/>
              <w:rPr>
                <w:b/>
                <w:color w:val="000000"/>
              </w:rPr>
            </w:pPr>
            <w:r w:rsidRPr="00576C60">
              <w:rPr>
                <w:b/>
                <w:color w:val="000000"/>
                <w:sz w:val="22"/>
                <w:szCs w:val="22"/>
              </w:rPr>
              <w:t>2012</w:t>
            </w:r>
          </w:p>
        </w:tc>
      </w:tr>
      <w:tr w:rsidR="00D4483D" w:rsidRPr="00576C60" w:rsidTr="00576C60">
        <w:trPr>
          <w:trHeight w:val="246"/>
        </w:trPr>
        <w:tc>
          <w:tcPr>
            <w:tcW w:w="1532" w:type="pct"/>
            <w:tcBorders>
              <w:top w:val="nil"/>
              <w:left w:val="nil"/>
              <w:bottom w:val="nil"/>
              <w:right w:val="nil"/>
            </w:tcBorders>
            <w:noWrap/>
            <w:vAlign w:val="center"/>
          </w:tcPr>
          <w:p w:rsidR="00D4483D" w:rsidRPr="00576C60" w:rsidRDefault="00D4483D" w:rsidP="00AD04A3">
            <w:pPr>
              <w:rPr>
                <w:b/>
                <w:bCs/>
                <w:color w:val="000000"/>
              </w:rPr>
            </w:pPr>
            <w:r w:rsidRPr="00576C60">
              <w:rPr>
                <w:b/>
                <w:iCs/>
                <w:color w:val="000000"/>
                <w:sz w:val="22"/>
                <w:szCs w:val="22"/>
              </w:rPr>
              <w:t>Niveau hiérarchique</w:t>
            </w:r>
          </w:p>
        </w:tc>
        <w:tc>
          <w:tcPr>
            <w:tcW w:w="868" w:type="pct"/>
            <w:tcBorders>
              <w:top w:val="single" w:sz="4" w:space="0" w:color="auto"/>
              <w:left w:val="single" w:sz="4" w:space="0" w:color="auto"/>
              <w:bottom w:val="single" w:sz="4" w:space="0" w:color="auto"/>
              <w:right w:val="single" w:sz="4" w:space="0" w:color="auto"/>
            </w:tcBorders>
            <w:noWrap/>
            <w:vAlign w:val="center"/>
          </w:tcPr>
          <w:p w:rsidR="00D4483D" w:rsidRPr="00576C60" w:rsidRDefault="00D4483D" w:rsidP="00DF4C7C">
            <w:pPr>
              <w:jc w:val="center"/>
              <w:rPr>
                <w:b/>
                <w:color w:val="000000"/>
              </w:rPr>
            </w:pPr>
            <w:r w:rsidRPr="00576C60">
              <w:rPr>
                <w:b/>
                <w:color w:val="000000"/>
                <w:sz w:val="22"/>
                <w:szCs w:val="22"/>
              </w:rPr>
              <w:t>Charges en €</w:t>
            </w:r>
          </w:p>
        </w:tc>
        <w:tc>
          <w:tcPr>
            <w:tcW w:w="867" w:type="pct"/>
            <w:tcBorders>
              <w:top w:val="single" w:sz="4" w:space="0" w:color="auto"/>
              <w:left w:val="nil"/>
              <w:bottom w:val="single" w:sz="4" w:space="0" w:color="auto"/>
              <w:right w:val="single" w:sz="4" w:space="0" w:color="auto"/>
            </w:tcBorders>
            <w:noWrap/>
            <w:vAlign w:val="center"/>
          </w:tcPr>
          <w:p w:rsidR="00D4483D" w:rsidRPr="00576C60" w:rsidRDefault="00D4483D" w:rsidP="00DF4C7C">
            <w:pPr>
              <w:jc w:val="center"/>
              <w:rPr>
                <w:b/>
                <w:i/>
                <w:iCs/>
                <w:color w:val="000000"/>
              </w:rPr>
            </w:pPr>
            <w:r w:rsidRPr="00576C60">
              <w:rPr>
                <w:b/>
                <w:i/>
                <w:iCs/>
                <w:color w:val="000000"/>
                <w:sz w:val="22"/>
                <w:szCs w:val="22"/>
              </w:rPr>
              <w:t>Répartition</w:t>
            </w:r>
          </w:p>
        </w:tc>
        <w:tc>
          <w:tcPr>
            <w:tcW w:w="867" w:type="pct"/>
            <w:tcBorders>
              <w:top w:val="single" w:sz="4" w:space="0" w:color="auto"/>
              <w:left w:val="nil"/>
              <w:bottom w:val="single" w:sz="4" w:space="0" w:color="auto"/>
              <w:right w:val="single" w:sz="4" w:space="0" w:color="auto"/>
            </w:tcBorders>
            <w:noWrap/>
            <w:vAlign w:val="center"/>
          </w:tcPr>
          <w:p w:rsidR="00D4483D" w:rsidRPr="00576C60" w:rsidRDefault="00D4483D" w:rsidP="00DF4C7C">
            <w:pPr>
              <w:jc w:val="center"/>
              <w:rPr>
                <w:b/>
                <w:color w:val="000000"/>
              </w:rPr>
            </w:pPr>
            <w:r w:rsidRPr="00576C60">
              <w:rPr>
                <w:b/>
                <w:color w:val="000000"/>
                <w:sz w:val="22"/>
                <w:szCs w:val="22"/>
              </w:rPr>
              <w:t>Charges en €</w:t>
            </w:r>
          </w:p>
        </w:tc>
        <w:tc>
          <w:tcPr>
            <w:tcW w:w="867" w:type="pct"/>
            <w:tcBorders>
              <w:top w:val="single" w:sz="4" w:space="0" w:color="auto"/>
              <w:left w:val="nil"/>
              <w:bottom w:val="single" w:sz="4" w:space="0" w:color="auto"/>
              <w:right w:val="single" w:sz="4" w:space="0" w:color="auto"/>
            </w:tcBorders>
            <w:noWrap/>
            <w:vAlign w:val="center"/>
          </w:tcPr>
          <w:p w:rsidR="00D4483D" w:rsidRPr="00576C60" w:rsidRDefault="00D4483D" w:rsidP="00DF4C7C">
            <w:pPr>
              <w:jc w:val="center"/>
              <w:rPr>
                <w:b/>
                <w:i/>
                <w:iCs/>
                <w:color w:val="000000"/>
              </w:rPr>
            </w:pPr>
            <w:r w:rsidRPr="00576C60">
              <w:rPr>
                <w:b/>
                <w:i/>
                <w:iCs/>
                <w:color w:val="000000"/>
                <w:sz w:val="22"/>
                <w:szCs w:val="22"/>
              </w:rPr>
              <w:t>Répartition</w:t>
            </w:r>
          </w:p>
        </w:tc>
      </w:tr>
      <w:tr w:rsidR="00D4483D" w:rsidRPr="00576C60" w:rsidTr="00576C60">
        <w:trPr>
          <w:trHeight w:val="246"/>
        </w:trPr>
        <w:tc>
          <w:tcPr>
            <w:tcW w:w="1532"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D4483D" w:rsidRPr="00576C60" w:rsidRDefault="00D4483D" w:rsidP="00DF4C7C">
            <w:pPr>
              <w:rPr>
                <w:b/>
                <w:bCs/>
                <w:color w:val="000000"/>
              </w:rPr>
            </w:pPr>
            <w:r w:rsidRPr="00576C60">
              <w:rPr>
                <w:b/>
                <w:bCs/>
                <w:color w:val="000000"/>
                <w:sz w:val="22"/>
                <w:szCs w:val="22"/>
              </w:rPr>
              <w:t>Total</w:t>
            </w:r>
          </w:p>
        </w:tc>
        <w:tc>
          <w:tcPr>
            <w:tcW w:w="868" w:type="pct"/>
            <w:tcBorders>
              <w:top w:val="single" w:sz="4" w:space="0" w:color="auto"/>
              <w:left w:val="nil"/>
              <w:bottom w:val="single" w:sz="4" w:space="0" w:color="auto"/>
              <w:right w:val="single" w:sz="4" w:space="0" w:color="auto"/>
            </w:tcBorders>
            <w:noWrap/>
            <w:vAlign w:val="center"/>
          </w:tcPr>
          <w:p w:rsidR="00D4483D" w:rsidRPr="00576C60" w:rsidRDefault="00D4483D" w:rsidP="00DF4C7C">
            <w:pPr>
              <w:jc w:val="center"/>
              <w:rPr>
                <w:b/>
                <w:bCs/>
                <w:color w:val="000000"/>
              </w:rPr>
            </w:pPr>
            <w:r>
              <w:rPr>
                <w:b/>
                <w:bCs/>
                <w:color w:val="000000"/>
                <w:sz w:val="22"/>
                <w:szCs w:val="22"/>
              </w:rPr>
              <w:t>416 151</w:t>
            </w:r>
          </w:p>
        </w:tc>
        <w:tc>
          <w:tcPr>
            <w:tcW w:w="867" w:type="pct"/>
            <w:tcBorders>
              <w:top w:val="single" w:sz="4" w:space="0" w:color="auto"/>
              <w:left w:val="nil"/>
              <w:bottom w:val="single" w:sz="4" w:space="0" w:color="auto"/>
              <w:right w:val="single" w:sz="4" w:space="0" w:color="auto"/>
            </w:tcBorders>
            <w:noWrap/>
            <w:vAlign w:val="center"/>
          </w:tcPr>
          <w:p w:rsidR="00D4483D" w:rsidRPr="00576C60" w:rsidRDefault="00D4483D" w:rsidP="00DF4C7C">
            <w:pPr>
              <w:jc w:val="center"/>
              <w:rPr>
                <w:b/>
                <w:i/>
                <w:iCs/>
                <w:color w:val="000000"/>
              </w:rPr>
            </w:pPr>
            <w:r w:rsidRPr="00576C60">
              <w:rPr>
                <w:b/>
                <w:i/>
                <w:iCs/>
                <w:color w:val="000000"/>
                <w:sz w:val="22"/>
                <w:szCs w:val="22"/>
              </w:rPr>
              <w:t>100%</w:t>
            </w:r>
          </w:p>
        </w:tc>
        <w:tc>
          <w:tcPr>
            <w:tcW w:w="867" w:type="pct"/>
            <w:tcBorders>
              <w:top w:val="single" w:sz="4" w:space="0" w:color="auto"/>
              <w:left w:val="nil"/>
              <w:bottom w:val="single" w:sz="4" w:space="0" w:color="auto"/>
              <w:right w:val="single" w:sz="4" w:space="0" w:color="auto"/>
            </w:tcBorders>
            <w:noWrap/>
            <w:vAlign w:val="center"/>
          </w:tcPr>
          <w:p w:rsidR="00D4483D" w:rsidRPr="00576C60" w:rsidRDefault="00D4483D" w:rsidP="00DF4C7C">
            <w:pPr>
              <w:jc w:val="center"/>
              <w:rPr>
                <w:b/>
                <w:bCs/>
                <w:color w:val="000000"/>
              </w:rPr>
            </w:pPr>
            <w:r w:rsidRPr="00576C60">
              <w:rPr>
                <w:b/>
                <w:bCs/>
                <w:color w:val="000000"/>
                <w:sz w:val="22"/>
                <w:szCs w:val="22"/>
              </w:rPr>
              <w:t>459 299</w:t>
            </w:r>
          </w:p>
        </w:tc>
        <w:tc>
          <w:tcPr>
            <w:tcW w:w="867" w:type="pct"/>
            <w:tcBorders>
              <w:top w:val="single" w:sz="4" w:space="0" w:color="auto"/>
              <w:left w:val="nil"/>
              <w:bottom w:val="single" w:sz="4" w:space="0" w:color="auto"/>
              <w:right w:val="single" w:sz="4" w:space="0" w:color="auto"/>
            </w:tcBorders>
            <w:noWrap/>
            <w:vAlign w:val="center"/>
          </w:tcPr>
          <w:p w:rsidR="00D4483D" w:rsidRPr="00576C60" w:rsidRDefault="00D4483D" w:rsidP="00DF4C7C">
            <w:pPr>
              <w:jc w:val="center"/>
              <w:rPr>
                <w:b/>
                <w:i/>
                <w:iCs/>
                <w:color w:val="000000"/>
              </w:rPr>
            </w:pPr>
            <w:r w:rsidRPr="00576C60">
              <w:rPr>
                <w:b/>
                <w:i/>
                <w:iCs/>
                <w:color w:val="000000"/>
                <w:sz w:val="22"/>
                <w:szCs w:val="22"/>
              </w:rPr>
              <w:t>100%</w:t>
            </w:r>
          </w:p>
        </w:tc>
      </w:tr>
      <w:tr w:rsidR="00D4483D" w:rsidRPr="00576C60" w:rsidTr="00576C60">
        <w:trPr>
          <w:trHeight w:val="246"/>
        </w:trPr>
        <w:tc>
          <w:tcPr>
            <w:tcW w:w="1532" w:type="pct"/>
            <w:tcBorders>
              <w:top w:val="nil"/>
              <w:left w:val="single" w:sz="4" w:space="0" w:color="auto"/>
              <w:bottom w:val="single" w:sz="4" w:space="0" w:color="auto"/>
              <w:right w:val="single" w:sz="4" w:space="0" w:color="auto"/>
            </w:tcBorders>
            <w:shd w:val="clear" w:color="000000" w:fill="F2F2F2"/>
            <w:noWrap/>
            <w:vAlign w:val="center"/>
          </w:tcPr>
          <w:p w:rsidR="00D4483D" w:rsidRPr="00576C60" w:rsidRDefault="00D4483D" w:rsidP="00DF4C7C">
            <w:pPr>
              <w:rPr>
                <w:b/>
                <w:bCs/>
                <w:color w:val="000000"/>
              </w:rPr>
            </w:pPr>
            <w:r w:rsidRPr="00576C60">
              <w:rPr>
                <w:b/>
                <w:bCs/>
                <w:color w:val="000000"/>
                <w:sz w:val="22"/>
                <w:szCs w:val="22"/>
              </w:rPr>
              <w:t>Contrat</w:t>
            </w:r>
          </w:p>
        </w:tc>
        <w:tc>
          <w:tcPr>
            <w:tcW w:w="868" w:type="pct"/>
            <w:tcBorders>
              <w:top w:val="single" w:sz="4" w:space="0" w:color="auto"/>
              <w:left w:val="nil"/>
              <w:bottom w:val="single" w:sz="4" w:space="0" w:color="auto"/>
              <w:right w:val="single" w:sz="4" w:space="0" w:color="auto"/>
            </w:tcBorders>
            <w:noWrap/>
            <w:vAlign w:val="center"/>
          </w:tcPr>
          <w:p w:rsidR="00D4483D" w:rsidRPr="00576C60" w:rsidRDefault="00D4483D" w:rsidP="00DF4C7C">
            <w:pPr>
              <w:jc w:val="center"/>
              <w:rPr>
                <w:color w:val="000000"/>
              </w:rPr>
            </w:pPr>
            <w:r>
              <w:rPr>
                <w:color w:val="000000"/>
                <w:sz w:val="22"/>
                <w:szCs w:val="22"/>
              </w:rPr>
              <w:t>31 858</w:t>
            </w:r>
          </w:p>
        </w:tc>
        <w:tc>
          <w:tcPr>
            <w:tcW w:w="867" w:type="pct"/>
            <w:tcBorders>
              <w:top w:val="single" w:sz="4" w:space="0" w:color="auto"/>
              <w:left w:val="nil"/>
              <w:bottom w:val="single" w:sz="4" w:space="0" w:color="auto"/>
              <w:right w:val="single" w:sz="4" w:space="0" w:color="auto"/>
            </w:tcBorders>
            <w:noWrap/>
            <w:vAlign w:val="center"/>
          </w:tcPr>
          <w:p w:rsidR="00D4483D" w:rsidRPr="00576C60" w:rsidRDefault="00D4483D" w:rsidP="00DF4C7C">
            <w:pPr>
              <w:jc w:val="center"/>
              <w:rPr>
                <w:i/>
                <w:iCs/>
                <w:color w:val="000000"/>
              </w:rPr>
            </w:pPr>
            <w:r>
              <w:rPr>
                <w:i/>
                <w:iCs/>
                <w:color w:val="000000"/>
                <w:sz w:val="22"/>
                <w:szCs w:val="22"/>
              </w:rPr>
              <w:t>7,7</w:t>
            </w:r>
            <w:r w:rsidRPr="00576C60">
              <w:rPr>
                <w:i/>
                <w:iCs/>
                <w:color w:val="000000"/>
                <w:sz w:val="22"/>
                <w:szCs w:val="22"/>
              </w:rPr>
              <w:t>%</w:t>
            </w:r>
          </w:p>
        </w:tc>
        <w:tc>
          <w:tcPr>
            <w:tcW w:w="867" w:type="pct"/>
            <w:tcBorders>
              <w:top w:val="single" w:sz="4" w:space="0" w:color="auto"/>
              <w:left w:val="nil"/>
              <w:bottom w:val="single" w:sz="4" w:space="0" w:color="auto"/>
              <w:right w:val="single" w:sz="4" w:space="0" w:color="auto"/>
            </w:tcBorders>
            <w:noWrap/>
            <w:vAlign w:val="center"/>
          </w:tcPr>
          <w:p w:rsidR="00D4483D" w:rsidRPr="00576C60" w:rsidRDefault="00D4483D" w:rsidP="00DF4C7C">
            <w:pPr>
              <w:jc w:val="center"/>
              <w:rPr>
                <w:color w:val="000000"/>
              </w:rPr>
            </w:pPr>
            <w:r w:rsidRPr="00576C60">
              <w:rPr>
                <w:color w:val="000000"/>
                <w:sz w:val="22"/>
                <w:szCs w:val="22"/>
              </w:rPr>
              <w:t>37 864</w:t>
            </w:r>
          </w:p>
        </w:tc>
        <w:tc>
          <w:tcPr>
            <w:tcW w:w="867" w:type="pct"/>
            <w:tcBorders>
              <w:top w:val="single" w:sz="4" w:space="0" w:color="auto"/>
              <w:left w:val="nil"/>
              <w:bottom w:val="single" w:sz="4" w:space="0" w:color="auto"/>
              <w:right w:val="single" w:sz="4" w:space="0" w:color="auto"/>
            </w:tcBorders>
            <w:noWrap/>
            <w:vAlign w:val="center"/>
          </w:tcPr>
          <w:p w:rsidR="00D4483D" w:rsidRPr="00576C60" w:rsidRDefault="00D4483D" w:rsidP="00DF4C7C">
            <w:pPr>
              <w:jc w:val="center"/>
              <w:rPr>
                <w:i/>
                <w:iCs/>
                <w:color w:val="000000"/>
              </w:rPr>
            </w:pPr>
            <w:r w:rsidRPr="00576C60">
              <w:rPr>
                <w:i/>
                <w:iCs/>
                <w:color w:val="000000"/>
                <w:sz w:val="22"/>
                <w:szCs w:val="22"/>
              </w:rPr>
              <w:t>8</w:t>
            </w:r>
            <w:r>
              <w:rPr>
                <w:i/>
                <w:iCs/>
                <w:color w:val="000000"/>
                <w:sz w:val="22"/>
                <w:szCs w:val="22"/>
              </w:rPr>
              <w:t>,2</w:t>
            </w:r>
            <w:r w:rsidRPr="00576C60">
              <w:rPr>
                <w:i/>
                <w:iCs/>
                <w:color w:val="000000"/>
                <w:sz w:val="22"/>
                <w:szCs w:val="22"/>
              </w:rPr>
              <w:t>%</w:t>
            </w:r>
          </w:p>
        </w:tc>
      </w:tr>
      <w:tr w:rsidR="00D4483D" w:rsidRPr="00576C60" w:rsidTr="00576C60">
        <w:trPr>
          <w:trHeight w:val="246"/>
        </w:trPr>
        <w:tc>
          <w:tcPr>
            <w:tcW w:w="1532" w:type="pct"/>
            <w:tcBorders>
              <w:top w:val="nil"/>
              <w:left w:val="single" w:sz="4" w:space="0" w:color="auto"/>
              <w:bottom w:val="single" w:sz="4" w:space="0" w:color="auto"/>
              <w:right w:val="single" w:sz="4" w:space="0" w:color="auto"/>
            </w:tcBorders>
            <w:shd w:val="clear" w:color="000000" w:fill="F2F2F2"/>
            <w:noWrap/>
            <w:vAlign w:val="center"/>
          </w:tcPr>
          <w:p w:rsidR="00D4483D" w:rsidRPr="00576C60" w:rsidRDefault="00D4483D" w:rsidP="00DF4C7C">
            <w:pPr>
              <w:rPr>
                <w:b/>
                <w:bCs/>
                <w:color w:val="000000"/>
              </w:rPr>
            </w:pPr>
            <w:r w:rsidRPr="00576C60">
              <w:rPr>
                <w:b/>
                <w:bCs/>
                <w:color w:val="000000"/>
                <w:sz w:val="22"/>
                <w:szCs w:val="22"/>
              </w:rPr>
              <w:t>Service</w:t>
            </w:r>
          </w:p>
        </w:tc>
        <w:tc>
          <w:tcPr>
            <w:tcW w:w="868" w:type="pct"/>
            <w:tcBorders>
              <w:top w:val="single" w:sz="4" w:space="0" w:color="auto"/>
              <w:left w:val="nil"/>
              <w:bottom w:val="single" w:sz="4" w:space="0" w:color="auto"/>
              <w:right w:val="single" w:sz="4" w:space="0" w:color="auto"/>
            </w:tcBorders>
            <w:noWrap/>
            <w:vAlign w:val="center"/>
          </w:tcPr>
          <w:p w:rsidR="00D4483D" w:rsidRPr="00576C60" w:rsidRDefault="00D4483D" w:rsidP="00F86A97">
            <w:pPr>
              <w:jc w:val="center"/>
              <w:rPr>
                <w:color w:val="000000"/>
              </w:rPr>
            </w:pPr>
            <w:r>
              <w:rPr>
                <w:color w:val="000000"/>
                <w:sz w:val="22"/>
                <w:szCs w:val="22"/>
              </w:rPr>
              <w:t>140 415</w:t>
            </w:r>
          </w:p>
        </w:tc>
        <w:tc>
          <w:tcPr>
            <w:tcW w:w="867" w:type="pct"/>
            <w:tcBorders>
              <w:top w:val="single" w:sz="4" w:space="0" w:color="auto"/>
              <w:left w:val="nil"/>
              <w:bottom w:val="single" w:sz="4" w:space="0" w:color="auto"/>
              <w:right w:val="single" w:sz="4" w:space="0" w:color="auto"/>
            </w:tcBorders>
            <w:noWrap/>
            <w:vAlign w:val="center"/>
          </w:tcPr>
          <w:p w:rsidR="00D4483D" w:rsidRPr="00576C60" w:rsidRDefault="00D4483D" w:rsidP="00F86A97">
            <w:pPr>
              <w:jc w:val="center"/>
              <w:rPr>
                <w:i/>
                <w:iCs/>
                <w:color w:val="000000"/>
              </w:rPr>
            </w:pPr>
            <w:r>
              <w:rPr>
                <w:i/>
                <w:iCs/>
                <w:color w:val="000000"/>
                <w:sz w:val="22"/>
                <w:szCs w:val="22"/>
              </w:rPr>
              <w:t>33,7</w:t>
            </w:r>
            <w:r w:rsidRPr="00576C60">
              <w:rPr>
                <w:i/>
                <w:iCs/>
                <w:color w:val="000000"/>
                <w:sz w:val="22"/>
                <w:szCs w:val="22"/>
              </w:rPr>
              <w:t>%</w:t>
            </w:r>
          </w:p>
        </w:tc>
        <w:tc>
          <w:tcPr>
            <w:tcW w:w="867" w:type="pct"/>
            <w:tcBorders>
              <w:top w:val="single" w:sz="4" w:space="0" w:color="auto"/>
              <w:left w:val="nil"/>
              <w:bottom w:val="single" w:sz="4" w:space="0" w:color="auto"/>
              <w:right w:val="single" w:sz="4" w:space="0" w:color="auto"/>
            </w:tcBorders>
            <w:noWrap/>
            <w:vAlign w:val="center"/>
          </w:tcPr>
          <w:p w:rsidR="00D4483D" w:rsidRPr="00576C60" w:rsidRDefault="00D4483D" w:rsidP="00DF4C7C">
            <w:pPr>
              <w:jc w:val="center"/>
              <w:rPr>
                <w:color w:val="000000"/>
              </w:rPr>
            </w:pPr>
            <w:r w:rsidRPr="00576C60">
              <w:rPr>
                <w:color w:val="000000"/>
                <w:sz w:val="22"/>
                <w:szCs w:val="22"/>
              </w:rPr>
              <w:t>137 998</w:t>
            </w:r>
          </w:p>
        </w:tc>
        <w:tc>
          <w:tcPr>
            <w:tcW w:w="867" w:type="pct"/>
            <w:tcBorders>
              <w:top w:val="single" w:sz="4" w:space="0" w:color="auto"/>
              <w:left w:val="nil"/>
              <w:bottom w:val="single" w:sz="4" w:space="0" w:color="auto"/>
              <w:right w:val="single" w:sz="4" w:space="0" w:color="auto"/>
            </w:tcBorders>
            <w:noWrap/>
            <w:vAlign w:val="center"/>
          </w:tcPr>
          <w:p w:rsidR="00D4483D" w:rsidRPr="00576C60" w:rsidRDefault="00D4483D" w:rsidP="00DF4C7C">
            <w:pPr>
              <w:jc w:val="center"/>
              <w:rPr>
                <w:i/>
                <w:iCs/>
                <w:color w:val="000000"/>
              </w:rPr>
            </w:pPr>
            <w:r w:rsidRPr="00576C60">
              <w:rPr>
                <w:i/>
                <w:iCs/>
                <w:color w:val="000000"/>
                <w:sz w:val="22"/>
                <w:szCs w:val="22"/>
              </w:rPr>
              <w:t>30</w:t>
            </w:r>
            <w:r>
              <w:rPr>
                <w:i/>
                <w:iCs/>
                <w:color w:val="000000"/>
                <w:sz w:val="22"/>
                <w:szCs w:val="22"/>
              </w:rPr>
              <w:t>,0</w:t>
            </w:r>
            <w:r w:rsidRPr="00576C60">
              <w:rPr>
                <w:i/>
                <w:iCs/>
                <w:color w:val="000000"/>
                <w:sz w:val="22"/>
                <w:szCs w:val="22"/>
              </w:rPr>
              <w:t>%</w:t>
            </w:r>
          </w:p>
        </w:tc>
      </w:tr>
      <w:tr w:rsidR="00D4483D" w:rsidRPr="00576C60" w:rsidTr="00576C60">
        <w:trPr>
          <w:trHeight w:val="246"/>
        </w:trPr>
        <w:tc>
          <w:tcPr>
            <w:tcW w:w="1532" w:type="pct"/>
            <w:tcBorders>
              <w:top w:val="nil"/>
              <w:left w:val="single" w:sz="4" w:space="0" w:color="auto"/>
              <w:bottom w:val="single" w:sz="4" w:space="0" w:color="auto"/>
              <w:right w:val="single" w:sz="4" w:space="0" w:color="auto"/>
            </w:tcBorders>
            <w:shd w:val="clear" w:color="000000" w:fill="F2F2F2"/>
            <w:noWrap/>
            <w:vAlign w:val="center"/>
          </w:tcPr>
          <w:p w:rsidR="00D4483D" w:rsidRPr="00576C60" w:rsidRDefault="00D4483D" w:rsidP="00DF4C7C">
            <w:pPr>
              <w:rPr>
                <w:b/>
                <w:bCs/>
                <w:color w:val="000000"/>
              </w:rPr>
            </w:pPr>
            <w:r w:rsidRPr="00576C60">
              <w:rPr>
                <w:b/>
                <w:bCs/>
                <w:color w:val="000000"/>
                <w:sz w:val="22"/>
                <w:szCs w:val="22"/>
              </w:rPr>
              <w:t>Agence</w:t>
            </w:r>
          </w:p>
        </w:tc>
        <w:tc>
          <w:tcPr>
            <w:tcW w:w="868" w:type="pct"/>
            <w:tcBorders>
              <w:top w:val="single" w:sz="4" w:space="0" w:color="auto"/>
              <w:left w:val="nil"/>
              <w:bottom w:val="single" w:sz="4" w:space="0" w:color="auto"/>
              <w:right w:val="single" w:sz="4" w:space="0" w:color="auto"/>
            </w:tcBorders>
            <w:noWrap/>
            <w:vAlign w:val="center"/>
          </w:tcPr>
          <w:p w:rsidR="00D4483D" w:rsidRPr="00576C60" w:rsidRDefault="00D4483D" w:rsidP="00DF4C7C">
            <w:pPr>
              <w:jc w:val="center"/>
              <w:rPr>
                <w:color w:val="000000"/>
              </w:rPr>
            </w:pPr>
            <w:r>
              <w:rPr>
                <w:color w:val="000000"/>
                <w:sz w:val="22"/>
                <w:szCs w:val="22"/>
              </w:rPr>
              <w:t>70 141</w:t>
            </w:r>
          </w:p>
        </w:tc>
        <w:tc>
          <w:tcPr>
            <w:tcW w:w="867" w:type="pct"/>
            <w:tcBorders>
              <w:top w:val="single" w:sz="4" w:space="0" w:color="auto"/>
              <w:left w:val="nil"/>
              <w:bottom w:val="single" w:sz="4" w:space="0" w:color="auto"/>
              <w:right w:val="single" w:sz="4" w:space="0" w:color="auto"/>
            </w:tcBorders>
            <w:noWrap/>
            <w:vAlign w:val="center"/>
          </w:tcPr>
          <w:p w:rsidR="00D4483D" w:rsidRPr="00576C60" w:rsidRDefault="00D4483D" w:rsidP="00F86A97">
            <w:pPr>
              <w:jc w:val="center"/>
              <w:rPr>
                <w:i/>
                <w:iCs/>
                <w:color w:val="000000"/>
              </w:rPr>
            </w:pPr>
            <w:r w:rsidRPr="00576C60">
              <w:rPr>
                <w:i/>
                <w:iCs/>
                <w:color w:val="000000"/>
                <w:sz w:val="22"/>
                <w:szCs w:val="22"/>
              </w:rPr>
              <w:t>1</w:t>
            </w:r>
            <w:r>
              <w:rPr>
                <w:i/>
                <w:iCs/>
                <w:color w:val="000000"/>
                <w:sz w:val="22"/>
                <w:szCs w:val="22"/>
              </w:rPr>
              <w:t>6,9</w:t>
            </w:r>
            <w:r w:rsidRPr="00576C60">
              <w:rPr>
                <w:i/>
                <w:iCs/>
                <w:color w:val="000000"/>
                <w:sz w:val="22"/>
                <w:szCs w:val="22"/>
              </w:rPr>
              <w:t>%</w:t>
            </w:r>
          </w:p>
        </w:tc>
        <w:tc>
          <w:tcPr>
            <w:tcW w:w="867" w:type="pct"/>
            <w:tcBorders>
              <w:top w:val="single" w:sz="4" w:space="0" w:color="auto"/>
              <w:left w:val="nil"/>
              <w:bottom w:val="single" w:sz="4" w:space="0" w:color="auto"/>
              <w:right w:val="single" w:sz="4" w:space="0" w:color="auto"/>
            </w:tcBorders>
            <w:noWrap/>
            <w:vAlign w:val="center"/>
          </w:tcPr>
          <w:p w:rsidR="00D4483D" w:rsidRPr="00576C60" w:rsidRDefault="00D4483D" w:rsidP="00DF4C7C">
            <w:pPr>
              <w:jc w:val="center"/>
              <w:rPr>
                <w:color w:val="000000"/>
              </w:rPr>
            </w:pPr>
            <w:r w:rsidRPr="00576C60">
              <w:rPr>
                <w:color w:val="000000"/>
                <w:sz w:val="22"/>
                <w:szCs w:val="22"/>
              </w:rPr>
              <w:t>3 281</w:t>
            </w:r>
          </w:p>
        </w:tc>
        <w:tc>
          <w:tcPr>
            <w:tcW w:w="867" w:type="pct"/>
            <w:tcBorders>
              <w:top w:val="single" w:sz="4" w:space="0" w:color="auto"/>
              <w:left w:val="nil"/>
              <w:bottom w:val="single" w:sz="4" w:space="0" w:color="auto"/>
              <w:right w:val="single" w:sz="4" w:space="0" w:color="auto"/>
            </w:tcBorders>
            <w:noWrap/>
            <w:vAlign w:val="center"/>
          </w:tcPr>
          <w:p w:rsidR="00D4483D" w:rsidRPr="00576C60" w:rsidRDefault="00D4483D" w:rsidP="00576C60">
            <w:pPr>
              <w:jc w:val="center"/>
              <w:rPr>
                <w:i/>
                <w:iCs/>
                <w:color w:val="000000"/>
              </w:rPr>
            </w:pPr>
            <w:r>
              <w:rPr>
                <w:i/>
                <w:iCs/>
                <w:color w:val="000000"/>
                <w:sz w:val="22"/>
                <w:szCs w:val="22"/>
              </w:rPr>
              <w:t>0,7</w:t>
            </w:r>
            <w:r w:rsidRPr="00576C60">
              <w:rPr>
                <w:i/>
                <w:iCs/>
                <w:color w:val="000000"/>
                <w:sz w:val="22"/>
                <w:szCs w:val="22"/>
              </w:rPr>
              <w:t>%</w:t>
            </w:r>
          </w:p>
        </w:tc>
      </w:tr>
      <w:tr w:rsidR="00D4483D" w:rsidRPr="00576C60" w:rsidTr="00576C60">
        <w:trPr>
          <w:trHeight w:val="246"/>
        </w:trPr>
        <w:tc>
          <w:tcPr>
            <w:tcW w:w="1532" w:type="pct"/>
            <w:tcBorders>
              <w:top w:val="nil"/>
              <w:left w:val="single" w:sz="4" w:space="0" w:color="auto"/>
              <w:bottom w:val="single" w:sz="4" w:space="0" w:color="auto"/>
              <w:right w:val="single" w:sz="4" w:space="0" w:color="auto"/>
            </w:tcBorders>
            <w:shd w:val="clear" w:color="000000" w:fill="F2F2F2"/>
            <w:noWrap/>
            <w:vAlign w:val="center"/>
          </w:tcPr>
          <w:p w:rsidR="00D4483D" w:rsidRPr="00576C60" w:rsidRDefault="00D4483D" w:rsidP="00DF4C7C">
            <w:pPr>
              <w:rPr>
                <w:b/>
                <w:bCs/>
                <w:color w:val="000000"/>
              </w:rPr>
            </w:pPr>
            <w:r w:rsidRPr="00576C60">
              <w:rPr>
                <w:b/>
                <w:bCs/>
                <w:color w:val="000000"/>
                <w:sz w:val="22"/>
                <w:szCs w:val="22"/>
              </w:rPr>
              <w:t>Centre Op.</w:t>
            </w:r>
          </w:p>
        </w:tc>
        <w:tc>
          <w:tcPr>
            <w:tcW w:w="868" w:type="pct"/>
            <w:tcBorders>
              <w:top w:val="single" w:sz="4" w:space="0" w:color="auto"/>
              <w:left w:val="nil"/>
              <w:bottom w:val="single" w:sz="4" w:space="0" w:color="auto"/>
              <w:right w:val="single" w:sz="4" w:space="0" w:color="auto"/>
            </w:tcBorders>
            <w:noWrap/>
            <w:vAlign w:val="center"/>
          </w:tcPr>
          <w:p w:rsidR="00D4483D" w:rsidRPr="00576C60" w:rsidRDefault="00D4483D" w:rsidP="00DF4C7C">
            <w:pPr>
              <w:jc w:val="center"/>
              <w:rPr>
                <w:color w:val="000000"/>
              </w:rPr>
            </w:pPr>
            <w:r>
              <w:rPr>
                <w:color w:val="000000"/>
                <w:sz w:val="22"/>
                <w:szCs w:val="22"/>
              </w:rPr>
              <w:t>7 502</w:t>
            </w:r>
          </w:p>
        </w:tc>
        <w:tc>
          <w:tcPr>
            <w:tcW w:w="867" w:type="pct"/>
            <w:tcBorders>
              <w:top w:val="single" w:sz="4" w:space="0" w:color="auto"/>
              <w:left w:val="nil"/>
              <w:bottom w:val="single" w:sz="4" w:space="0" w:color="auto"/>
              <w:right w:val="single" w:sz="4" w:space="0" w:color="auto"/>
            </w:tcBorders>
            <w:noWrap/>
            <w:vAlign w:val="center"/>
          </w:tcPr>
          <w:p w:rsidR="00D4483D" w:rsidRPr="00576C60" w:rsidRDefault="00D4483D" w:rsidP="00DF4C7C">
            <w:pPr>
              <w:jc w:val="center"/>
              <w:rPr>
                <w:i/>
                <w:iCs/>
                <w:color w:val="000000"/>
              </w:rPr>
            </w:pPr>
            <w:r>
              <w:rPr>
                <w:i/>
                <w:iCs/>
                <w:color w:val="000000"/>
                <w:sz w:val="22"/>
                <w:szCs w:val="22"/>
              </w:rPr>
              <w:t>1,8</w:t>
            </w:r>
            <w:r w:rsidRPr="00576C60">
              <w:rPr>
                <w:i/>
                <w:iCs/>
                <w:color w:val="000000"/>
                <w:sz w:val="22"/>
                <w:szCs w:val="22"/>
              </w:rPr>
              <w:t>%</w:t>
            </w:r>
          </w:p>
        </w:tc>
        <w:tc>
          <w:tcPr>
            <w:tcW w:w="867" w:type="pct"/>
            <w:tcBorders>
              <w:top w:val="single" w:sz="4" w:space="0" w:color="auto"/>
              <w:left w:val="nil"/>
              <w:bottom w:val="single" w:sz="4" w:space="0" w:color="auto"/>
              <w:right w:val="single" w:sz="4" w:space="0" w:color="auto"/>
            </w:tcBorders>
            <w:noWrap/>
            <w:vAlign w:val="center"/>
          </w:tcPr>
          <w:p w:rsidR="00D4483D" w:rsidRPr="00576C60" w:rsidRDefault="00D4483D" w:rsidP="00DF4C7C">
            <w:pPr>
              <w:jc w:val="center"/>
              <w:rPr>
                <w:color w:val="000000"/>
              </w:rPr>
            </w:pPr>
            <w:r w:rsidRPr="00576C60">
              <w:rPr>
                <w:color w:val="000000"/>
                <w:sz w:val="22"/>
                <w:szCs w:val="22"/>
              </w:rPr>
              <w:t>78 770</w:t>
            </w:r>
          </w:p>
        </w:tc>
        <w:tc>
          <w:tcPr>
            <w:tcW w:w="867" w:type="pct"/>
            <w:tcBorders>
              <w:top w:val="single" w:sz="4" w:space="0" w:color="auto"/>
              <w:left w:val="nil"/>
              <w:bottom w:val="single" w:sz="4" w:space="0" w:color="auto"/>
              <w:right w:val="single" w:sz="4" w:space="0" w:color="auto"/>
            </w:tcBorders>
            <w:noWrap/>
            <w:vAlign w:val="center"/>
          </w:tcPr>
          <w:p w:rsidR="00D4483D" w:rsidRPr="00576C60" w:rsidRDefault="00D4483D" w:rsidP="00DF4C7C">
            <w:pPr>
              <w:jc w:val="center"/>
              <w:rPr>
                <w:i/>
                <w:iCs/>
                <w:color w:val="000000"/>
              </w:rPr>
            </w:pPr>
            <w:r w:rsidRPr="00576C60">
              <w:rPr>
                <w:i/>
                <w:iCs/>
                <w:color w:val="000000"/>
                <w:sz w:val="22"/>
                <w:szCs w:val="22"/>
              </w:rPr>
              <w:t>17</w:t>
            </w:r>
            <w:r>
              <w:rPr>
                <w:i/>
                <w:iCs/>
                <w:color w:val="000000"/>
                <w:sz w:val="22"/>
                <w:szCs w:val="22"/>
              </w:rPr>
              <w:t>,2</w:t>
            </w:r>
            <w:r w:rsidRPr="00576C60">
              <w:rPr>
                <w:i/>
                <w:iCs/>
                <w:color w:val="000000"/>
                <w:sz w:val="22"/>
                <w:szCs w:val="22"/>
              </w:rPr>
              <w:t>%</w:t>
            </w:r>
          </w:p>
        </w:tc>
      </w:tr>
      <w:tr w:rsidR="00D4483D" w:rsidRPr="00576C60" w:rsidTr="00576C60">
        <w:trPr>
          <w:trHeight w:val="246"/>
        </w:trPr>
        <w:tc>
          <w:tcPr>
            <w:tcW w:w="1532" w:type="pct"/>
            <w:tcBorders>
              <w:top w:val="nil"/>
              <w:left w:val="single" w:sz="4" w:space="0" w:color="auto"/>
              <w:bottom w:val="single" w:sz="4" w:space="0" w:color="auto"/>
              <w:right w:val="single" w:sz="4" w:space="0" w:color="auto"/>
            </w:tcBorders>
            <w:shd w:val="clear" w:color="000000" w:fill="F2F2F2"/>
            <w:noWrap/>
            <w:vAlign w:val="center"/>
          </w:tcPr>
          <w:p w:rsidR="00D4483D" w:rsidRPr="00576C60" w:rsidRDefault="00D4483D" w:rsidP="00DF4C7C">
            <w:pPr>
              <w:rPr>
                <w:b/>
                <w:bCs/>
                <w:color w:val="000000"/>
              </w:rPr>
            </w:pPr>
            <w:r w:rsidRPr="00576C60">
              <w:rPr>
                <w:b/>
                <w:bCs/>
                <w:color w:val="000000"/>
                <w:sz w:val="22"/>
                <w:szCs w:val="22"/>
              </w:rPr>
              <w:t>Région</w:t>
            </w:r>
          </w:p>
        </w:tc>
        <w:tc>
          <w:tcPr>
            <w:tcW w:w="868" w:type="pct"/>
            <w:tcBorders>
              <w:top w:val="single" w:sz="4" w:space="0" w:color="auto"/>
              <w:left w:val="nil"/>
              <w:bottom w:val="single" w:sz="4" w:space="0" w:color="auto"/>
              <w:right w:val="single" w:sz="4" w:space="0" w:color="auto"/>
            </w:tcBorders>
            <w:noWrap/>
            <w:vAlign w:val="center"/>
          </w:tcPr>
          <w:p w:rsidR="00D4483D" w:rsidRPr="00576C60" w:rsidRDefault="00D4483D" w:rsidP="00DF4C7C">
            <w:pPr>
              <w:jc w:val="center"/>
              <w:rPr>
                <w:color w:val="000000"/>
              </w:rPr>
            </w:pPr>
            <w:r>
              <w:rPr>
                <w:color w:val="000000"/>
                <w:sz w:val="22"/>
                <w:szCs w:val="22"/>
              </w:rPr>
              <w:t>134 974</w:t>
            </w:r>
          </w:p>
        </w:tc>
        <w:tc>
          <w:tcPr>
            <w:tcW w:w="867" w:type="pct"/>
            <w:tcBorders>
              <w:top w:val="single" w:sz="4" w:space="0" w:color="auto"/>
              <w:left w:val="nil"/>
              <w:bottom w:val="single" w:sz="4" w:space="0" w:color="auto"/>
              <w:right w:val="single" w:sz="4" w:space="0" w:color="auto"/>
            </w:tcBorders>
            <w:noWrap/>
            <w:vAlign w:val="center"/>
          </w:tcPr>
          <w:p w:rsidR="00D4483D" w:rsidRPr="00576C60" w:rsidRDefault="00D4483D" w:rsidP="00DF4C7C">
            <w:pPr>
              <w:jc w:val="center"/>
              <w:rPr>
                <w:i/>
                <w:iCs/>
                <w:color w:val="000000"/>
              </w:rPr>
            </w:pPr>
            <w:r>
              <w:rPr>
                <w:i/>
                <w:iCs/>
                <w:color w:val="000000"/>
                <w:sz w:val="22"/>
                <w:szCs w:val="22"/>
              </w:rPr>
              <w:t>32,4</w:t>
            </w:r>
            <w:r w:rsidRPr="00576C60">
              <w:rPr>
                <w:i/>
                <w:iCs/>
                <w:color w:val="000000"/>
                <w:sz w:val="22"/>
                <w:szCs w:val="22"/>
              </w:rPr>
              <w:t>%</w:t>
            </w:r>
          </w:p>
        </w:tc>
        <w:tc>
          <w:tcPr>
            <w:tcW w:w="867" w:type="pct"/>
            <w:tcBorders>
              <w:top w:val="single" w:sz="4" w:space="0" w:color="auto"/>
              <w:left w:val="nil"/>
              <w:bottom w:val="single" w:sz="4" w:space="0" w:color="auto"/>
              <w:right w:val="single" w:sz="4" w:space="0" w:color="auto"/>
            </w:tcBorders>
            <w:noWrap/>
            <w:vAlign w:val="center"/>
          </w:tcPr>
          <w:p w:rsidR="00D4483D" w:rsidRPr="00576C60" w:rsidRDefault="00D4483D" w:rsidP="00DF4C7C">
            <w:pPr>
              <w:jc w:val="center"/>
              <w:rPr>
                <w:color w:val="000000"/>
              </w:rPr>
            </w:pPr>
            <w:r w:rsidRPr="00576C60">
              <w:rPr>
                <w:color w:val="000000"/>
                <w:sz w:val="22"/>
                <w:szCs w:val="22"/>
              </w:rPr>
              <w:t>175 816</w:t>
            </w:r>
          </w:p>
        </w:tc>
        <w:tc>
          <w:tcPr>
            <w:tcW w:w="867" w:type="pct"/>
            <w:tcBorders>
              <w:top w:val="single" w:sz="4" w:space="0" w:color="auto"/>
              <w:left w:val="nil"/>
              <w:bottom w:val="single" w:sz="4" w:space="0" w:color="auto"/>
              <w:right w:val="single" w:sz="4" w:space="0" w:color="auto"/>
            </w:tcBorders>
            <w:noWrap/>
            <w:vAlign w:val="center"/>
          </w:tcPr>
          <w:p w:rsidR="00D4483D" w:rsidRPr="00576C60" w:rsidRDefault="00D4483D" w:rsidP="00DF4C7C">
            <w:pPr>
              <w:jc w:val="center"/>
              <w:rPr>
                <w:i/>
                <w:iCs/>
                <w:color w:val="000000"/>
              </w:rPr>
            </w:pPr>
            <w:r w:rsidRPr="00576C60">
              <w:rPr>
                <w:i/>
                <w:iCs/>
                <w:color w:val="000000"/>
                <w:sz w:val="22"/>
                <w:szCs w:val="22"/>
              </w:rPr>
              <w:t>38</w:t>
            </w:r>
            <w:r>
              <w:rPr>
                <w:i/>
                <w:iCs/>
                <w:color w:val="000000"/>
                <w:sz w:val="22"/>
                <w:szCs w:val="22"/>
              </w:rPr>
              <w:t>,3</w:t>
            </w:r>
            <w:r w:rsidRPr="00576C60">
              <w:rPr>
                <w:i/>
                <w:iCs/>
                <w:color w:val="000000"/>
                <w:sz w:val="22"/>
                <w:szCs w:val="22"/>
              </w:rPr>
              <w:t>%</w:t>
            </w:r>
          </w:p>
        </w:tc>
      </w:tr>
      <w:tr w:rsidR="00D4483D" w:rsidRPr="00576C60" w:rsidTr="00576C60">
        <w:trPr>
          <w:trHeight w:val="481"/>
        </w:trPr>
        <w:tc>
          <w:tcPr>
            <w:tcW w:w="1532" w:type="pct"/>
            <w:tcBorders>
              <w:top w:val="nil"/>
              <w:left w:val="single" w:sz="4" w:space="0" w:color="auto"/>
              <w:bottom w:val="single" w:sz="4" w:space="0" w:color="auto"/>
              <w:right w:val="single" w:sz="4" w:space="0" w:color="auto"/>
            </w:tcBorders>
            <w:shd w:val="clear" w:color="000000" w:fill="F2F2F2"/>
            <w:vAlign w:val="center"/>
          </w:tcPr>
          <w:p w:rsidR="00D4483D" w:rsidRPr="00576C60" w:rsidRDefault="00D4483D" w:rsidP="00DF4C7C">
            <w:pPr>
              <w:rPr>
                <w:b/>
                <w:bCs/>
                <w:color w:val="000000"/>
              </w:rPr>
            </w:pPr>
            <w:r w:rsidRPr="00576C60">
              <w:rPr>
                <w:b/>
                <w:bCs/>
                <w:color w:val="000000"/>
                <w:sz w:val="22"/>
                <w:szCs w:val="22"/>
              </w:rPr>
              <w:t>Charges calculées</w:t>
            </w:r>
          </w:p>
        </w:tc>
        <w:tc>
          <w:tcPr>
            <w:tcW w:w="868" w:type="pct"/>
            <w:tcBorders>
              <w:top w:val="single" w:sz="4" w:space="0" w:color="auto"/>
              <w:left w:val="nil"/>
              <w:bottom w:val="single" w:sz="4" w:space="0" w:color="auto"/>
              <w:right w:val="single" w:sz="4" w:space="0" w:color="auto"/>
            </w:tcBorders>
            <w:noWrap/>
            <w:vAlign w:val="center"/>
          </w:tcPr>
          <w:p w:rsidR="00D4483D" w:rsidRPr="00576C60" w:rsidRDefault="00D4483D" w:rsidP="00DF4C7C">
            <w:pPr>
              <w:jc w:val="center"/>
              <w:rPr>
                <w:color w:val="000000"/>
              </w:rPr>
            </w:pPr>
            <w:r>
              <w:rPr>
                <w:color w:val="000000"/>
                <w:sz w:val="22"/>
                <w:szCs w:val="22"/>
              </w:rPr>
              <w:t>31 261</w:t>
            </w:r>
          </w:p>
        </w:tc>
        <w:tc>
          <w:tcPr>
            <w:tcW w:w="867" w:type="pct"/>
            <w:tcBorders>
              <w:top w:val="single" w:sz="4" w:space="0" w:color="auto"/>
              <w:left w:val="nil"/>
              <w:bottom w:val="single" w:sz="4" w:space="0" w:color="auto"/>
              <w:right w:val="single" w:sz="4" w:space="0" w:color="auto"/>
            </w:tcBorders>
            <w:noWrap/>
            <w:vAlign w:val="center"/>
          </w:tcPr>
          <w:p w:rsidR="00D4483D" w:rsidRPr="00576C60" w:rsidRDefault="00D4483D" w:rsidP="00DF4C7C">
            <w:pPr>
              <w:jc w:val="center"/>
              <w:rPr>
                <w:i/>
                <w:iCs/>
                <w:color w:val="000000"/>
              </w:rPr>
            </w:pPr>
            <w:r>
              <w:rPr>
                <w:i/>
                <w:iCs/>
                <w:color w:val="000000"/>
                <w:sz w:val="22"/>
                <w:szCs w:val="22"/>
              </w:rPr>
              <w:t>7,5</w:t>
            </w:r>
            <w:r w:rsidRPr="00576C60">
              <w:rPr>
                <w:i/>
                <w:iCs/>
                <w:color w:val="000000"/>
                <w:sz w:val="22"/>
                <w:szCs w:val="22"/>
              </w:rPr>
              <w:t>%</w:t>
            </w:r>
          </w:p>
        </w:tc>
        <w:tc>
          <w:tcPr>
            <w:tcW w:w="867" w:type="pct"/>
            <w:tcBorders>
              <w:top w:val="single" w:sz="4" w:space="0" w:color="auto"/>
              <w:left w:val="nil"/>
              <w:bottom w:val="single" w:sz="4" w:space="0" w:color="auto"/>
              <w:right w:val="single" w:sz="4" w:space="0" w:color="auto"/>
            </w:tcBorders>
            <w:noWrap/>
            <w:vAlign w:val="center"/>
          </w:tcPr>
          <w:p w:rsidR="00D4483D" w:rsidRPr="00576C60" w:rsidRDefault="00D4483D" w:rsidP="00DF4C7C">
            <w:pPr>
              <w:jc w:val="center"/>
              <w:rPr>
                <w:color w:val="000000"/>
              </w:rPr>
            </w:pPr>
            <w:r w:rsidRPr="00576C60">
              <w:rPr>
                <w:color w:val="000000"/>
                <w:sz w:val="22"/>
                <w:szCs w:val="22"/>
              </w:rPr>
              <w:t>25 270</w:t>
            </w:r>
          </w:p>
        </w:tc>
        <w:tc>
          <w:tcPr>
            <w:tcW w:w="867" w:type="pct"/>
            <w:tcBorders>
              <w:top w:val="single" w:sz="4" w:space="0" w:color="auto"/>
              <w:left w:val="nil"/>
              <w:bottom w:val="single" w:sz="4" w:space="0" w:color="auto"/>
              <w:right w:val="single" w:sz="4" w:space="0" w:color="auto"/>
            </w:tcBorders>
            <w:noWrap/>
            <w:vAlign w:val="center"/>
          </w:tcPr>
          <w:p w:rsidR="00D4483D" w:rsidRPr="00576C60" w:rsidRDefault="00D4483D" w:rsidP="00DF4C7C">
            <w:pPr>
              <w:jc w:val="center"/>
              <w:rPr>
                <w:i/>
                <w:iCs/>
                <w:color w:val="000000"/>
              </w:rPr>
            </w:pPr>
            <w:r>
              <w:rPr>
                <w:i/>
                <w:iCs/>
                <w:color w:val="000000"/>
                <w:sz w:val="22"/>
                <w:szCs w:val="22"/>
              </w:rPr>
              <w:t>5,</w:t>
            </w:r>
            <w:r w:rsidRPr="00576C60">
              <w:rPr>
                <w:i/>
                <w:iCs/>
                <w:color w:val="000000"/>
                <w:sz w:val="22"/>
                <w:szCs w:val="22"/>
              </w:rPr>
              <w:t>6%</w:t>
            </w:r>
          </w:p>
        </w:tc>
      </w:tr>
    </w:tbl>
    <w:p w:rsidR="00D4483D" w:rsidRPr="00576C60" w:rsidRDefault="00D4483D" w:rsidP="006A073F">
      <w:pPr>
        <w:pStyle w:val="yndicatde"/>
        <w:widowControl/>
        <w:numPr>
          <w:ilvl w:val="0"/>
          <w:numId w:val="0"/>
        </w:numPr>
        <w:rPr>
          <w:bCs/>
          <w:szCs w:val="24"/>
        </w:rPr>
      </w:pPr>
    </w:p>
    <w:p w:rsidR="00D4483D" w:rsidRDefault="00D4483D" w:rsidP="00EA0A0D">
      <w:pPr>
        <w:pStyle w:val="yndicatde"/>
        <w:widowControl/>
        <w:numPr>
          <w:ilvl w:val="0"/>
          <w:numId w:val="0"/>
        </w:numPr>
        <w:rPr>
          <w:bCs/>
          <w:szCs w:val="24"/>
        </w:rPr>
      </w:pPr>
      <w:r w:rsidRPr="00576C60">
        <w:rPr>
          <w:bCs/>
          <w:szCs w:val="24"/>
        </w:rPr>
        <w:t>La part des charges directes est très faible, ce qui reflète une très faible transparence des charges financières présentées par la Société des Eaux de Melun, corroborée par la très forte imputation de charges régionales. Une telle ventilation des charges montre que le contrat est relativement rentable, malgré un résultat déficitaire affiché.</w:t>
      </w:r>
    </w:p>
    <w:p w:rsidR="00D4483D" w:rsidRDefault="00D4483D" w:rsidP="00EA0A0D">
      <w:pPr>
        <w:pStyle w:val="yndicatde"/>
        <w:widowControl/>
        <w:numPr>
          <w:ilvl w:val="0"/>
          <w:numId w:val="0"/>
        </w:numPr>
        <w:rPr>
          <w:bCs/>
          <w:szCs w:val="24"/>
        </w:rPr>
      </w:pPr>
    </w:p>
    <w:p w:rsidR="00D4483D" w:rsidRPr="00576C60" w:rsidRDefault="00D4483D" w:rsidP="00EA0A0D">
      <w:pPr>
        <w:pStyle w:val="yndicatde"/>
        <w:widowControl/>
        <w:numPr>
          <w:ilvl w:val="0"/>
          <w:numId w:val="0"/>
        </w:numPr>
        <w:rPr>
          <w:bCs/>
          <w:szCs w:val="24"/>
        </w:rPr>
      </w:pPr>
      <w:r>
        <w:rPr>
          <w:bCs/>
          <w:szCs w:val="24"/>
        </w:rPr>
        <w:t>Les ratios de charges de personnel (90€/abonné) et frais de structure centrale (15€/abonné) sont très élevés, et certainement supérieurs aux besoins réels pour l’exploitation du service. Une baisse de prix significative, à obligations constantes, devrait donc intervenir dans l’avenir, quelque soit le mode de gestion, malgré le déficit significatif affiché par le Délégataire en fin de contrat (2012).</w:t>
      </w:r>
    </w:p>
    <w:p w:rsidR="00D4483D" w:rsidRDefault="00D4483D" w:rsidP="00EA0A0D">
      <w:pPr>
        <w:pStyle w:val="yndicatde"/>
        <w:widowControl/>
        <w:numPr>
          <w:ilvl w:val="0"/>
          <w:numId w:val="0"/>
        </w:numPr>
        <w:rPr>
          <w:bCs/>
          <w:szCs w:val="24"/>
        </w:rPr>
      </w:pPr>
    </w:p>
    <w:p w:rsidR="00D4483D" w:rsidRDefault="00D4483D">
      <w:pPr>
        <w:spacing w:after="200" w:line="276" w:lineRule="auto"/>
        <w:rPr>
          <w:rFonts w:cs="Arial"/>
          <w:b/>
          <w:bCs/>
          <w:iCs/>
          <w:sz w:val="26"/>
          <w:szCs w:val="26"/>
          <w:u w:val="single"/>
        </w:rPr>
      </w:pPr>
    </w:p>
    <w:p w:rsidR="00D4483D" w:rsidRDefault="00D4483D" w:rsidP="00380FF6">
      <w:pPr>
        <w:pStyle w:val="Heading2"/>
        <w:numPr>
          <w:ilvl w:val="1"/>
          <w:numId w:val="6"/>
        </w:numPr>
        <w:tabs>
          <w:tab w:val="clear" w:pos="851"/>
          <w:tab w:val="num" w:pos="993"/>
        </w:tabs>
        <w:sectPr w:rsidR="00D4483D" w:rsidSect="00766CA8">
          <w:pgSz w:w="11906" w:h="16838"/>
          <w:pgMar w:top="1417" w:right="1417" w:bottom="1417" w:left="1417" w:header="708" w:footer="708" w:gutter="0"/>
          <w:cols w:space="708"/>
          <w:docGrid w:linePitch="360"/>
        </w:sectPr>
      </w:pPr>
    </w:p>
    <w:p w:rsidR="00D4483D" w:rsidRPr="00956231" w:rsidRDefault="00D4483D" w:rsidP="00380FF6">
      <w:pPr>
        <w:pStyle w:val="Heading2"/>
        <w:numPr>
          <w:ilvl w:val="1"/>
          <w:numId w:val="6"/>
        </w:numPr>
        <w:tabs>
          <w:tab w:val="clear" w:pos="851"/>
          <w:tab w:val="num" w:pos="993"/>
        </w:tabs>
      </w:pPr>
      <w:bookmarkStart w:id="29" w:name="_Toc367105228"/>
      <w:r w:rsidRPr="00956231">
        <w:t>Bilan relatif au renouvellement</w:t>
      </w:r>
      <w:bookmarkEnd w:id="29"/>
    </w:p>
    <w:p w:rsidR="00D4483D" w:rsidRDefault="00D4483D" w:rsidP="006D407E">
      <w:pPr>
        <w:jc w:val="both"/>
        <w:rPr>
          <w:szCs w:val="16"/>
        </w:rPr>
      </w:pPr>
    </w:p>
    <w:p w:rsidR="00D4483D" w:rsidRDefault="00D4483D" w:rsidP="000A5D88">
      <w:pPr>
        <w:jc w:val="both"/>
        <w:rPr>
          <w:szCs w:val="16"/>
        </w:rPr>
      </w:pPr>
      <w:r w:rsidRPr="00660A29">
        <w:rPr>
          <w:szCs w:val="16"/>
        </w:rPr>
        <w:t>Le renouvellement confié au Délégataire comporte toutes les opérations de renouvellement des équipements, compteurs, branchements et accessoires de réseaux.</w:t>
      </w:r>
    </w:p>
    <w:p w:rsidR="00D4483D" w:rsidRDefault="00D4483D" w:rsidP="000A5D88">
      <w:pPr>
        <w:jc w:val="both"/>
        <w:rPr>
          <w:szCs w:val="16"/>
        </w:rPr>
      </w:pPr>
    </w:p>
    <w:p w:rsidR="00D4483D" w:rsidRDefault="00D4483D" w:rsidP="00660A29">
      <w:pPr>
        <w:jc w:val="both"/>
      </w:pPr>
      <w:r>
        <w:t>L</w:t>
      </w:r>
      <w:r w:rsidRPr="00B6360E">
        <w:t>e compte prévisionnel</w:t>
      </w:r>
      <w:r>
        <w:t xml:space="preserve"> d’exploitation (CEP) </w:t>
      </w:r>
      <w:r w:rsidRPr="00B6360E">
        <w:t>annexé au contrat</w:t>
      </w:r>
      <w:r>
        <w:t xml:space="preserve"> prévoit d</w:t>
      </w:r>
      <w:r w:rsidRPr="00B6360E">
        <w:t>es charges relati</w:t>
      </w:r>
      <w:r>
        <w:t xml:space="preserve">ves aux renouvellements à hauteur de 110 000 F </w:t>
      </w:r>
      <w:r w:rsidRPr="00B6360E">
        <w:t>par an</w:t>
      </w:r>
      <w:r>
        <w:t>, en valeur au 1</w:t>
      </w:r>
      <w:r w:rsidRPr="00660A29">
        <w:rPr>
          <w:vertAlign w:val="superscript"/>
        </w:rPr>
        <w:t>er</w:t>
      </w:r>
      <w:r>
        <w:t xml:space="preserve"> juillet 1999, soit 16 769,40 € par an. </w:t>
      </w:r>
    </w:p>
    <w:p w:rsidR="00D4483D" w:rsidRPr="00660A29" w:rsidRDefault="00D4483D" w:rsidP="000A5D88">
      <w:pPr>
        <w:jc w:val="both"/>
        <w:rPr>
          <w:szCs w:val="16"/>
        </w:rPr>
      </w:pPr>
    </w:p>
    <w:p w:rsidR="00D4483D" w:rsidRPr="00B6360E" w:rsidRDefault="00D4483D" w:rsidP="00660A29">
      <w:pPr>
        <w:jc w:val="both"/>
      </w:pPr>
      <w:r w:rsidRPr="00B6360E">
        <w:t>Le tableau ci-après détaille le suivi financier du renouvellement depuis l’entrée en vigueur du contrat.</w:t>
      </w:r>
    </w:p>
    <w:p w:rsidR="00D4483D" w:rsidRPr="00BB587E" w:rsidRDefault="00D4483D" w:rsidP="006D407E">
      <w:pPr>
        <w:jc w:val="both"/>
        <w:rPr>
          <w:szCs w:val="16"/>
          <w:highlight w:val="yellow"/>
        </w:rPr>
      </w:pPr>
    </w:p>
    <w:tbl>
      <w:tblPr>
        <w:tblW w:w="5036" w:type="pct"/>
        <w:jc w:val="center"/>
        <w:tblLayout w:type="fixed"/>
        <w:tblCellMar>
          <w:left w:w="70" w:type="dxa"/>
          <w:right w:w="70" w:type="dxa"/>
        </w:tblCellMar>
        <w:tblLook w:val="00A0"/>
      </w:tblPr>
      <w:tblGrid>
        <w:gridCol w:w="2483"/>
        <w:gridCol w:w="898"/>
        <w:gridCol w:w="898"/>
        <w:gridCol w:w="898"/>
        <w:gridCol w:w="897"/>
        <w:gridCol w:w="897"/>
        <w:gridCol w:w="897"/>
        <w:gridCol w:w="897"/>
        <w:gridCol w:w="897"/>
        <w:gridCol w:w="949"/>
        <w:gridCol w:w="846"/>
        <w:gridCol w:w="897"/>
        <w:gridCol w:w="949"/>
        <w:gridCol w:w="943"/>
      </w:tblGrid>
      <w:tr w:rsidR="00D4483D" w:rsidRPr="00660A29" w:rsidTr="00660A29">
        <w:trPr>
          <w:trHeight w:val="315"/>
          <w:jc w:val="center"/>
        </w:trPr>
        <w:tc>
          <w:tcPr>
            <w:tcW w:w="871" w:type="pct"/>
            <w:tcBorders>
              <w:bottom w:val="nil"/>
              <w:right w:val="single" w:sz="4" w:space="0" w:color="auto"/>
            </w:tcBorders>
            <w:noWrap/>
            <w:vAlign w:val="bottom"/>
          </w:tcPr>
          <w:p w:rsidR="00D4483D" w:rsidRPr="00660A29" w:rsidRDefault="00D4483D" w:rsidP="00B02B6B">
            <w:pPr>
              <w:rPr>
                <w:b/>
                <w:bCs/>
                <w:highlight w:val="yellow"/>
              </w:rPr>
            </w:pPr>
            <w:r w:rsidRPr="00660A29">
              <w:rPr>
                <w:b/>
                <w:bCs/>
              </w:rPr>
              <w:t> En € HT</w:t>
            </w:r>
          </w:p>
        </w:tc>
        <w:tc>
          <w:tcPr>
            <w:tcW w:w="315" w:type="pct"/>
            <w:tcBorders>
              <w:top w:val="single" w:sz="4" w:space="0" w:color="auto"/>
              <w:left w:val="nil"/>
              <w:bottom w:val="single" w:sz="4" w:space="0" w:color="auto"/>
              <w:right w:val="single" w:sz="4" w:space="0" w:color="auto"/>
            </w:tcBorders>
            <w:shd w:val="pct5" w:color="auto" w:fill="auto"/>
            <w:noWrap/>
            <w:vAlign w:val="center"/>
          </w:tcPr>
          <w:p w:rsidR="00D4483D" w:rsidRPr="00660A29" w:rsidRDefault="00D4483D" w:rsidP="00660A29">
            <w:pPr>
              <w:jc w:val="center"/>
              <w:rPr>
                <w:b/>
                <w:bCs/>
              </w:rPr>
            </w:pPr>
            <w:r w:rsidRPr="00660A29">
              <w:rPr>
                <w:b/>
                <w:bCs/>
              </w:rPr>
              <w:t>2000</w:t>
            </w:r>
          </w:p>
        </w:tc>
        <w:tc>
          <w:tcPr>
            <w:tcW w:w="315" w:type="pct"/>
            <w:tcBorders>
              <w:top w:val="single" w:sz="4" w:space="0" w:color="auto"/>
              <w:left w:val="nil"/>
              <w:bottom w:val="single" w:sz="4" w:space="0" w:color="auto"/>
              <w:right w:val="single" w:sz="4" w:space="0" w:color="auto"/>
            </w:tcBorders>
            <w:shd w:val="pct5" w:color="auto" w:fill="auto"/>
            <w:noWrap/>
            <w:vAlign w:val="center"/>
          </w:tcPr>
          <w:p w:rsidR="00D4483D" w:rsidRPr="00660A29" w:rsidRDefault="00D4483D" w:rsidP="00660A29">
            <w:pPr>
              <w:jc w:val="center"/>
              <w:rPr>
                <w:b/>
                <w:bCs/>
              </w:rPr>
            </w:pPr>
            <w:r w:rsidRPr="00660A29">
              <w:rPr>
                <w:b/>
                <w:bCs/>
              </w:rPr>
              <w:t>2001</w:t>
            </w:r>
          </w:p>
        </w:tc>
        <w:tc>
          <w:tcPr>
            <w:tcW w:w="315" w:type="pct"/>
            <w:tcBorders>
              <w:top w:val="single" w:sz="4" w:space="0" w:color="auto"/>
              <w:left w:val="nil"/>
              <w:bottom w:val="single" w:sz="4" w:space="0" w:color="auto"/>
              <w:right w:val="single" w:sz="4" w:space="0" w:color="auto"/>
            </w:tcBorders>
            <w:shd w:val="pct5" w:color="auto" w:fill="auto"/>
            <w:noWrap/>
            <w:vAlign w:val="center"/>
          </w:tcPr>
          <w:p w:rsidR="00D4483D" w:rsidRPr="00660A29" w:rsidRDefault="00D4483D" w:rsidP="00660A29">
            <w:pPr>
              <w:jc w:val="center"/>
              <w:rPr>
                <w:b/>
                <w:bCs/>
              </w:rPr>
            </w:pPr>
            <w:r w:rsidRPr="00660A29">
              <w:rPr>
                <w:b/>
                <w:bCs/>
              </w:rPr>
              <w:t>2002</w:t>
            </w:r>
          </w:p>
        </w:tc>
        <w:tc>
          <w:tcPr>
            <w:tcW w:w="315" w:type="pct"/>
            <w:tcBorders>
              <w:top w:val="single" w:sz="4" w:space="0" w:color="auto"/>
              <w:left w:val="nil"/>
              <w:bottom w:val="single" w:sz="4" w:space="0" w:color="auto"/>
              <w:right w:val="single" w:sz="4" w:space="0" w:color="auto"/>
            </w:tcBorders>
            <w:shd w:val="pct5" w:color="auto" w:fill="auto"/>
            <w:noWrap/>
            <w:vAlign w:val="center"/>
          </w:tcPr>
          <w:p w:rsidR="00D4483D" w:rsidRPr="00660A29" w:rsidRDefault="00D4483D" w:rsidP="00660A29">
            <w:pPr>
              <w:jc w:val="center"/>
              <w:rPr>
                <w:b/>
                <w:bCs/>
              </w:rPr>
            </w:pPr>
            <w:r w:rsidRPr="00660A29">
              <w:rPr>
                <w:b/>
                <w:bCs/>
              </w:rPr>
              <w:t>2003</w:t>
            </w:r>
          </w:p>
        </w:tc>
        <w:tc>
          <w:tcPr>
            <w:tcW w:w="315" w:type="pct"/>
            <w:tcBorders>
              <w:top w:val="single" w:sz="4" w:space="0" w:color="auto"/>
              <w:left w:val="nil"/>
              <w:bottom w:val="single" w:sz="4" w:space="0" w:color="auto"/>
              <w:right w:val="single" w:sz="4" w:space="0" w:color="auto"/>
            </w:tcBorders>
            <w:shd w:val="pct5" w:color="auto" w:fill="auto"/>
            <w:noWrap/>
            <w:vAlign w:val="center"/>
          </w:tcPr>
          <w:p w:rsidR="00D4483D" w:rsidRPr="00660A29" w:rsidRDefault="00D4483D" w:rsidP="00660A29">
            <w:pPr>
              <w:jc w:val="center"/>
              <w:rPr>
                <w:b/>
                <w:bCs/>
              </w:rPr>
            </w:pPr>
            <w:r w:rsidRPr="00660A29">
              <w:rPr>
                <w:b/>
                <w:bCs/>
              </w:rPr>
              <w:t>2004</w:t>
            </w:r>
          </w:p>
        </w:tc>
        <w:tc>
          <w:tcPr>
            <w:tcW w:w="315" w:type="pct"/>
            <w:tcBorders>
              <w:top w:val="single" w:sz="4" w:space="0" w:color="auto"/>
              <w:left w:val="nil"/>
              <w:bottom w:val="single" w:sz="4" w:space="0" w:color="auto"/>
              <w:right w:val="single" w:sz="4" w:space="0" w:color="auto"/>
            </w:tcBorders>
            <w:shd w:val="pct5" w:color="auto" w:fill="auto"/>
            <w:vAlign w:val="center"/>
          </w:tcPr>
          <w:p w:rsidR="00D4483D" w:rsidRPr="00660A29" w:rsidRDefault="00D4483D" w:rsidP="00660A29">
            <w:pPr>
              <w:jc w:val="center"/>
              <w:rPr>
                <w:b/>
                <w:bCs/>
              </w:rPr>
            </w:pPr>
            <w:r w:rsidRPr="00660A29">
              <w:rPr>
                <w:b/>
                <w:bCs/>
              </w:rPr>
              <w:t>2005</w:t>
            </w:r>
          </w:p>
        </w:tc>
        <w:tc>
          <w:tcPr>
            <w:tcW w:w="315" w:type="pct"/>
            <w:tcBorders>
              <w:top w:val="single" w:sz="4" w:space="0" w:color="auto"/>
              <w:left w:val="single" w:sz="4" w:space="0" w:color="auto"/>
              <w:bottom w:val="single" w:sz="4" w:space="0" w:color="auto"/>
              <w:right w:val="single" w:sz="4" w:space="0" w:color="auto"/>
            </w:tcBorders>
            <w:shd w:val="pct5" w:color="auto" w:fill="auto"/>
            <w:vAlign w:val="center"/>
          </w:tcPr>
          <w:p w:rsidR="00D4483D" w:rsidRPr="00660A29" w:rsidRDefault="00D4483D" w:rsidP="00660A29">
            <w:pPr>
              <w:jc w:val="center"/>
              <w:rPr>
                <w:b/>
                <w:bCs/>
              </w:rPr>
            </w:pPr>
            <w:r w:rsidRPr="00660A29">
              <w:rPr>
                <w:b/>
                <w:bCs/>
              </w:rPr>
              <w:t>2006</w:t>
            </w:r>
          </w:p>
        </w:tc>
        <w:tc>
          <w:tcPr>
            <w:tcW w:w="315" w:type="pct"/>
            <w:tcBorders>
              <w:top w:val="single" w:sz="4" w:space="0" w:color="auto"/>
              <w:left w:val="nil"/>
              <w:bottom w:val="single" w:sz="4" w:space="0" w:color="auto"/>
              <w:right w:val="single" w:sz="4" w:space="0" w:color="auto"/>
            </w:tcBorders>
            <w:shd w:val="pct5" w:color="auto" w:fill="auto"/>
            <w:vAlign w:val="center"/>
          </w:tcPr>
          <w:p w:rsidR="00D4483D" w:rsidRPr="00660A29" w:rsidRDefault="00D4483D" w:rsidP="00660A29">
            <w:pPr>
              <w:jc w:val="center"/>
              <w:rPr>
                <w:b/>
                <w:bCs/>
              </w:rPr>
            </w:pPr>
            <w:r w:rsidRPr="00660A29">
              <w:rPr>
                <w:b/>
                <w:bCs/>
              </w:rPr>
              <w:t>2007</w:t>
            </w:r>
          </w:p>
        </w:tc>
        <w:tc>
          <w:tcPr>
            <w:tcW w:w="333" w:type="pct"/>
            <w:tcBorders>
              <w:top w:val="single" w:sz="4" w:space="0" w:color="auto"/>
              <w:left w:val="nil"/>
              <w:bottom w:val="single" w:sz="4" w:space="0" w:color="auto"/>
              <w:right w:val="single" w:sz="4" w:space="0" w:color="auto"/>
            </w:tcBorders>
            <w:shd w:val="pct5" w:color="auto" w:fill="auto"/>
            <w:vAlign w:val="center"/>
          </w:tcPr>
          <w:p w:rsidR="00D4483D" w:rsidRPr="00660A29" w:rsidRDefault="00D4483D" w:rsidP="00660A29">
            <w:pPr>
              <w:jc w:val="center"/>
              <w:rPr>
                <w:b/>
                <w:bCs/>
              </w:rPr>
            </w:pPr>
            <w:r w:rsidRPr="00660A29">
              <w:rPr>
                <w:b/>
                <w:bCs/>
              </w:rPr>
              <w:t>2008</w:t>
            </w:r>
          </w:p>
        </w:tc>
        <w:tc>
          <w:tcPr>
            <w:tcW w:w="297" w:type="pct"/>
            <w:tcBorders>
              <w:top w:val="single" w:sz="4" w:space="0" w:color="auto"/>
              <w:left w:val="nil"/>
              <w:bottom w:val="single" w:sz="4" w:space="0" w:color="auto"/>
              <w:right w:val="single" w:sz="4" w:space="0" w:color="auto"/>
            </w:tcBorders>
            <w:shd w:val="pct5" w:color="auto" w:fill="auto"/>
            <w:noWrap/>
            <w:vAlign w:val="center"/>
          </w:tcPr>
          <w:p w:rsidR="00D4483D" w:rsidRPr="00660A29" w:rsidRDefault="00D4483D" w:rsidP="00660A29">
            <w:pPr>
              <w:jc w:val="center"/>
              <w:rPr>
                <w:b/>
                <w:bCs/>
              </w:rPr>
            </w:pPr>
            <w:r w:rsidRPr="00660A29">
              <w:rPr>
                <w:b/>
                <w:bCs/>
              </w:rPr>
              <w:t>2009</w:t>
            </w:r>
          </w:p>
        </w:tc>
        <w:tc>
          <w:tcPr>
            <w:tcW w:w="315" w:type="pct"/>
            <w:tcBorders>
              <w:top w:val="single" w:sz="4" w:space="0" w:color="auto"/>
              <w:left w:val="nil"/>
              <w:bottom w:val="single" w:sz="4" w:space="0" w:color="auto"/>
              <w:right w:val="single" w:sz="4" w:space="0" w:color="auto"/>
            </w:tcBorders>
            <w:shd w:val="pct5" w:color="auto" w:fill="auto"/>
            <w:noWrap/>
            <w:vAlign w:val="center"/>
          </w:tcPr>
          <w:p w:rsidR="00D4483D" w:rsidRPr="00660A29" w:rsidRDefault="00D4483D" w:rsidP="00660A29">
            <w:pPr>
              <w:jc w:val="center"/>
              <w:rPr>
                <w:b/>
                <w:bCs/>
              </w:rPr>
            </w:pPr>
            <w:r w:rsidRPr="00660A29">
              <w:rPr>
                <w:b/>
                <w:bCs/>
              </w:rPr>
              <w:t>2010</w:t>
            </w:r>
          </w:p>
        </w:tc>
        <w:tc>
          <w:tcPr>
            <w:tcW w:w="333" w:type="pct"/>
            <w:tcBorders>
              <w:top w:val="single" w:sz="4" w:space="0" w:color="auto"/>
              <w:left w:val="nil"/>
              <w:bottom w:val="single" w:sz="4" w:space="0" w:color="auto"/>
              <w:right w:val="single" w:sz="4" w:space="0" w:color="auto"/>
            </w:tcBorders>
            <w:shd w:val="pct5" w:color="auto" w:fill="auto"/>
            <w:vAlign w:val="center"/>
          </w:tcPr>
          <w:p w:rsidR="00D4483D" w:rsidRPr="00660A29" w:rsidRDefault="00D4483D" w:rsidP="00660A29">
            <w:pPr>
              <w:jc w:val="center"/>
              <w:rPr>
                <w:b/>
                <w:bCs/>
              </w:rPr>
            </w:pPr>
            <w:r w:rsidRPr="00660A29">
              <w:rPr>
                <w:b/>
                <w:bCs/>
              </w:rPr>
              <w:t>2011</w:t>
            </w:r>
          </w:p>
        </w:tc>
        <w:tc>
          <w:tcPr>
            <w:tcW w:w="331" w:type="pct"/>
            <w:tcBorders>
              <w:top w:val="single" w:sz="4" w:space="0" w:color="auto"/>
              <w:left w:val="nil"/>
              <w:bottom w:val="single" w:sz="4" w:space="0" w:color="auto"/>
              <w:right w:val="single" w:sz="4" w:space="0" w:color="auto"/>
            </w:tcBorders>
            <w:shd w:val="pct5" w:color="auto" w:fill="auto"/>
            <w:vAlign w:val="center"/>
          </w:tcPr>
          <w:p w:rsidR="00D4483D" w:rsidRPr="00660A29" w:rsidRDefault="00D4483D" w:rsidP="00660A29">
            <w:pPr>
              <w:jc w:val="center"/>
              <w:rPr>
                <w:b/>
                <w:bCs/>
              </w:rPr>
            </w:pPr>
            <w:r w:rsidRPr="00660A29">
              <w:rPr>
                <w:b/>
                <w:bCs/>
              </w:rPr>
              <w:t>2012</w:t>
            </w:r>
          </w:p>
        </w:tc>
      </w:tr>
      <w:tr w:rsidR="00D4483D" w:rsidRPr="00660A29" w:rsidTr="00660A29">
        <w:trPr>
          <w:trHeight w:val="315"/>
          <w:jc w:val="center"/>
        </w:trPr>
        <w:tc>
          <w:tcPr>
            <w:tcW w:w="871" w:type="pct"/>
            <w:tcBorders>
              <w:top w:val="single" w:sz="4" w:space="0" w:color="auto"/>
              <w:left w:val="single" w:sz="4" w:space="0" w:color="auto"/>
              <w:bottom w:val="single" w:sz="4" w:space="0" w:color="auto"/>
              <w:right w:val="single" w:sz="4" w:space="0" w:color="auto"/>
            </w:tcBorders>
            <w:noWrap/>
            <w:vAlign w:val="bottom"/>
          </w:tcPr>
          <w:p w:rsidR="00D4483D" w:rsidRPr="00660A29" w:rsidRDefault="00D4483D" w:rsidP="00660A29">
            <w:pPr>
              <w:rPr>
                <w:b/>
                <w:highlight w:val="yellow"/>
              </w:rPr>
            </w:pPr>
            <w:r w:rsidRPr="00660A29">
              <w:rPr>
                <w:b/>
              </w:rPr>
              <w:t xml:space="preserve">Charges de renouvellement du CEP </w:t>
            </w:r>
            <w:r w:rsidRPr="00660A29">
              <w:t>(calculé envaleur 2012 par application du coefficient K)</w:t>
            </w:r>
          </w:p>
        </w:tc>
        <w:tc>
          <w:tcPr>
            <w:tcW w:w="315" w:type="pct"/>
            <w:tcBorders>
              <w:top w:val="single" w:sz="4" w:space="0" w:color="auto"/>
              <w:left w:val="nil"/>
              <w:bottom w:val="single" w:sz="4" w:space="0" w:color="auto"/>
              <w:right w:val="single" w:sz="4" w:space="0" w:color="auto"/>
            </w:tcBorders>
            <w:noWrap/>
            <w:vAlign w:val="center"/>
          </w:tcPr>
          <w:p w:rsidR="00D4483D" w:rsidRPr="00660A29" w:rsidRDefault="00D4483D" w:rsidP="00674A72">
            <w:pPr>
              <w:jc w:val="center"/>
              <w:rPr>
                <w:b/>
                <w:bCs/>
                <w:color w:val="000000"/>
              </w:rPr>
            </w:pPr>
            <w:r w:rsidRPr="00660A29">
              <w:rPr>
                <w:b/>
                <w:bCs/>
                <w:color w:val="000000"/>
              </w:rPr>
              <w:t>2</w:t>
            </w:r>
            <w:r>
              <w:rPr>
                <w:b/>
                <w:bCs/>
                <w:color w:val="000000"/>
              </w:rPr>
              <w:t>2751</w:t>
            </w:r>
          </w:p>
        </w:tc>
        <w:tc>
          <w:tcPr>
            <w:tcW w:w="315" w:type="pct"/>
            <w:tcBorders>
              <w:top w:val="single" w:sz="4" w:space="0" w:color="auto"/>
              <w:left w:val="nil"/>
              <w:bottom w:val="single" w:sz="4" w:space="0" w:color="auto"/>
              <w:right w:val="single" w:sz="4" w:space="0" w:color="auto"/>
            </w:tcBorders>
            <w:noWrap/>
            <w:vAlign w:val="center"/>
          </w:tcPr>
          <w:p w:rsidR="00D4483D" w:rsidRPr="00660A29" w:rsidRDefault="00D4483D" w:rsidP="00674A72">
            <w:pPr>
              <w:jc w:val="center"/>
              <w:rPr>
                <w:b/>
                <w:bCs/>
                <w:color w:val="000000"/>
              </w:rPr>
            </w:pPr>
            <w:r w:rsidRPr="00660A29">
              <w:rPr>
                <w:b/>
                <w:bCs/>
                <w:color w:val="000000"/>
              </w:rPr>
              <w:t>2</w:t>
            </w:r>
            <w:r>
              <w:rPr>
                <w:b/>
                <w:bCs/>
                <w:color w:val="000000"/>
              </w:rPr>
              <w:t>2751</w:t>
            </w:r>
          </w:p>
        </w:tc>
        <w:tc>
          <w:tcPr>
            <w:tcW w:w="315" w:type="pct"/>
            <w:tcBorders>
              <w:top w:val="single" w:sz="4" w:space="0" w:color="auto"/>
              <w:left w:val="nil"/>
              <w:bottom w:val="single" w:sz="4" w:space="0" w:color="auto"/>
              <w:right w:val="single" w:sz="4" w:space="0" w:color="auto"/>
            </w:tcBorders>
            <w:noWrap/>
            <w:vAlign w:val="center"/>
          </w:tcPr>
          <w:p w:rsidR="00D4483D" w:rsidRPr="00660A29" w:rsidRDefault="00D4483D" w:rsidP="00674A72">
            <w:pPr>
              <w:jc w:val="center"/>
              <w:rPr>
                <w:b/>
                <w:bCs/>
                <w:color w:val="000000"/>
              </w:rPr>
            </w:pPr>
            <w:r w:rsidRPr="00660A29">
              <w:rPr>
                <w:b/>
                <w:bCs/>
                <w:color w:val="000000"/>
              </w:rPr>
              <w:t>2</w:t>
            </w:r>
            <w:r>
              <w:rPr>
                <w:b/>
                <w:bCs/>
                <w:color w:val="000000"/>
              </w:rPr>
              <w:t>2751</w:t>
            </w:r>
          </w:p>
        </w:tc>
        <w:tc>
          <w:tcPr>
            <w:tcW w:w="315" w:type="pct"/>
            <w:tcBorders>
              <w:top w:val="single" w:sz="4" w:space="0" w:color="auto"/>
              <w:left w:val="nil"/>
              <w:bottom w:val="single" w:sz="4" w:space="0" w:color="auto"/>
              <w:right w:val="single" w:sz="4" w:space="0" w:color="auto"/>
            </w:tcBorders>
            <w:noWrap/>
            <w:vAlign w:val="center"/>
          </w:tcPr>
          <w:p w:rsidR="00D4483D" w:rsidRPr="00660A29" w:rsidRDefault="00D4483D" w:rsidP="00674A72">
            <w:pPr>
              <w:jc w:val="center"/>
              <w:rPr>
                <w:b/>
                <w:bCs/>
                <w:color w:val="000000"/>
              </w:rPr>
            </w:pPr>
            <w:r w:rsidRPr="00660A29">
              <w:rPr>
                <w:b/>
                <w:bCs/>
                <w:color w:val="000000"/>
              </w:rPr>
              <w:t>2</w:t>
            </w:r>
            <w:r>
              <w:rPr>
                <w:b/>
                <w:bCs/>
                <w:color w:val="000000"/>
              </w:rPr>
              <w:t>2751</w:t>
            </w:r>
          </w:p>
        </w:tc>
        <w:tc>
          <w:tcPr>
            <w:tcW w:w="315" w:type="pct"/>
            <w:tcBorders>
              <w:top w:val="single" w:sz="4" w:space="0" w:color="auto"/>
              <w:left w:val="nil"/>
              <w:bottom w:val="single" w:sz="4" w:space="0" w:color="auto"/>
              <w:right w:val="single" w:sz="4" w:space="0" w:color="auto"/>
            </w:tcBorders>
            <w:noWrap/>
            <w:vAlign w:val="center"/>
          </w:tcPr>
          <w:p w:rsidR="00D4483D" w:rsidRPr="00660A29" w:rsidRDefault="00D4483D" w:rsidP="00674A72">
            <w:pPr>
              <w:jc w:val="center"/>
              <w:rPr>
                <w:b/>
                <w:bCs/>
                <w:color w:val="000000"/>
              </w:rPr>
            </w:pPr>
            <w:r w:rsidRPr="00660A29">
              <w:rPr>
                <w:b/>
                <w:bCs/>
                <w:color w:val="000000"/>
              </w:rPr>
              <w:t>2</w:t>
            </w:r>
            <w:r>
              <w:rPr>
                <w:b/>
                <w:bCs/>
                <w:color w:val="000000"/>
              </w:rPr>
              <w:t>2751</w:t>
            </w:r>
          </w:p>
        </w:tc>
        <w:tc>
          <w:tcPr>
            <w:tcW w:w="315" w:type="pct"/>
            <w:tcBorders>
              <w:top w:val="single" w:sz="4" w:space="0" w:color="auto"/>
              <w:left w:val="nil"/>
              <w:bottom w:val="single" w:sz="4" w:space="0" w:color="auto"/>
              <w:right w:val="single" w:sz="4" w:space="0" w:color="auto"/>
            </w:tcBorders>
            <w:vAlign w:val="center"/>
          </w:tcPr>
          <w:p w:rsidR="00D4483D" w:rsidRPr="00660A29" w:rsidRDefault="00D4483D" w:rsidP="00674A72">
            <w:pPr>
              <w:jc w:val="center"/>
              <w:rPr>
                <w:b/>
                <w:bCs/>
                <w:color w:val="000000"/>
              </w:rPr>
            </w:pPr>
            <w:r w:rsidRPr="00660A29">
              <w:rPr>
                <w:b/>
                <w:bCs/>
                <w:color w:val="000000"/>
              </w:rPr>
              <w:t>2</w:t>
            </w:r>
            <w:r>
              <w:rPr>
                <w:b/>
                <w:bCs/>
                <w:color w:val="000000"/>
              </w:rPr>
              <w:t>2751</w:t>
            </w:r>
          </w:p>
        </w:tc>
        <w:tc>
          <w:tcPr>
            <w:tcW w:w="315" w:type="pct"/>
            <w:tcBorders>
              <w:top w:val="single" w:sz="4" w:space="0" w:color="auto"/>
              <w:left w:val="single" w:sz="4" w:space="0" w:color="auto"/>
              <w:bottom w:val="single" w:sz="4" w:space="0" w:color="auto"/>
              <w:right w:val="single" w:sz="4" w:space="0" w:color="auto"/>
            </w:tcBorders>
            <w:vAlign w:val="center"/>
          </w:tcPr>
          <w:p w:rsidR="00D4483D" w:rsidRPr="00660A29" w:rsidRDefault="00D4483D" w:rsidP="00674A72">
            <w:pPr>
              <w:jc w:val="center"/>
              <w:rPr>
                <w:b/>
                <w:bCs/>
                <w:color w:val="000000"/>
              </w:rPr>
            </w:pPr>
            <w:r w:rsidRPr="00660A29">
              <w:rPr>
                <w:b/>
                <w:bCs/>
                <w:color w:val="000000"/>
              </w:rPr>
              <w:t>2</w:t>
            </w:r>
            <w:r>
              <w:rPr>
                <w:b/>
                <w:bCs/>
                <w:color w:val="000000"/>
              </w:rPr>
              <w:t>2751</w:t>
            </w:r>
          </w:p>
        </w:tc>
        <w:tc>
          <w:tcPr>
            <w:tcW w:w="315" w:type="pct"/>
            <w:tcBorders>
              <w:top w:val="single" w:sz="4" w:space="0" w:color="auto"/>
              <w:left w:val="nil"/>
              <w:bottom w:val="single" w:sz="4" w:space="0" w:color="auto"/>
              <w:right w:val="single" w:sz="4" w:space="0" w:color="auto"/>
            </w:tcBorders>
            <w:vAlign w:val="center"/>
          </w:tcPr>
          <w:p w:rsidR="00D4483D" w:rsidRPr="00660A29" w:rsidRDefault="00D4483D" w:rsidP="00674A72">
            <w:pPr>
              <w:jc w:val="center"/>
              <w:rPr>
                <w:b/>
                <w:bCs/>
                <w:color w:val="000000"/>
              </w:rPr>
            </w:pPr>
            <w:r w:rsidRPr="00660A29">
              <w:rPr>
                <w:b/>
                <w:bCs/>
                <w:color w:val="000000"/>
              </w:rPr>
              <w:t>2</w:t>
            </w:r>
            <w:r>
              <w:rPr>
                <w:b/>
                <w:bCs/>
                <w:color w:val="000000"/>
              </w:rPr>
              <w:t>2751</w:t>
            </w:r>
          </w:p>
        </w:tc>
        <w:tc>
          <w:tcPr>
            <w:tcW w:w="333" w:type="pct"/>
            <w:tcBorders>
              <w:top w:val="single" w:sz="4" w:space="0" w:color="auto"/>
              <w:left w:val="nil"/>
              <w:bottom w:val="single" w:sz="4" w:space="0" w:color="auto"/>
              <w:right w:val="single" w:sz="4" w:space="0" w:color="auto"/>
            </w:tcBorders>
            <w:vAlign w:val="center"/>
          </w:tcPr>
          <w:p w:rsidR="00D4483D" w:rsidRPr="00660A29" w:rsidRDefault="00D4483D" w:rsidP="00674A72">
            <w:pPr>
              <w:jc w:val="center"/>
              <w:rPr>
                <w:b/>
                <w:bCs/>
                <w:color w:val="000000"/>
              </w:rPr>
            </w:pPr>
            <w:r w:rsidRPr="00660A29">
              <w:rPr>
                <w:b/>
                <w:bCs/>
                <w:color w:val="000000"/>
              </w:rPr>
              <w:t>2</w:t>
            </w:r>
            <w:r>
              <w:rPr>
                <w:b/>
                <w:bCs/>
                <w:color w:val="000000"/>
              </w:rPr>
              <w:t>2751</w:t>
            </w:r>
          </w:p>
        </w:tc>
        <w:tc>
          <w:tcPr>
            <w:tcW w:w="297" w:type="pct"/>
            <w:tcBorders>
              <w:top w:val="single" w:sz="4" w:space="0" w:color="auto"/>
              <w:left w:val="nil"/>
              <w:bottom w:val="single" w:sz="4" w:space="0" w:color="auto"/>
              <w:right w:val="single" w:sz="4" w:space="0" w:color="auto"/>
            </w:tcBorders>
            <w:noWrap/>
            <w:vAlign w:val="center"/>
          </w:tcPr>
          <w:p w:rsidR="00D4483D" w:rsidRPr="00660A29" w:rsidRDefault="00D4483D" w:rsidP="00674A72">
            <w:pPr>
              <w:jc w:val="center"/>
              <w:rPr>
                <w:b/>
                <w:bCs/>
                <w:color w:val="000000"/>
              </w:rPr>
            </w:pPr>
            <w:r w:rsidRPr="00660A29">
              <w:rPr>
                <w:b/>
                <w:bCs/>
                <w:color w:val="000000"/>
              </w:rPr>
              <w:t>2</w:t>
            </w:r>
            <w:r>
              <w:rPr>
                <w:b/>
                <w:bCs/>
                <w:color w:val="000000"/>
              </w:rPr>
              <w:t>2751</w:t>
            </w:r>
          </w:p>
        </w:tc>
        <w:tc>
          <w:tcPr>
            <w:tcW w:w="315" w:type="pct"/>
            <w:tcBorders>
              <w:top w:val="single" w:sz="4" w:space="0" w:color="auto"/>
              <w:left w:val="nil"/>
              <w:bottom w:val="single" w:sz="4" w:space="0" w:color="auto"/>
              <w:right w:val="single" w:sz="4" w:space="0" w:color="auto"/>
            </w:tcBorders>
            <w:noWrap/>
            <w:vAlign w:val="center"/>
          </w:tcPr>
          <w:p w:rsidR="00D4483D" w:rsidRPr="00660A29" w:rsidRDefault="00D4483D" w:rsidP="00674A72">
            <w:pPr>
              <w:jc w:val="center"/>
              <w:rPr>
                <w:b/>
                <w:bCs/>
                <w:color w:val="000000"/>
              </w:rPr>
            </w:pPr>
            <w:r w:rsidRPr="00660A29">
              <w:rPr>
                <w:b/>
                <w:bCs/>
                <w:color w:val="000000"/>
              </w:rPr>
              <w:t>2</w:t>
            </w:r>
            <w:r>
              <w:rPr>
                <w:b/>
                <w:bCs/>
                <w:color w:val="000000"/>
              </w:rPr>
              <w:t>2751</w:t>
            </w:r>
          </w:p>
        </w:tc>
        <w:tc>
          <w:tcPr>
            <w:tcW w:w="333" w:type="pct"/>
            <w:tcBorders>
              <w:top w:val="single" w:sz="4" w:space="0" w:color="auto"/>
              <w:left w:val="nil"/>
              <w:bottom w:val="single" w:sz="4" w:space="0" w:color="auto"/>
              <w:right w:val="single" w:sz="4" w:space="0" w:color="auto"/>
            </w:tcBorders>
            <w:vAlign w:val="center"/>
          </w:tcPr>
          <w:p w:rsidR="00D4483D" w:rsidRPr="00660A29" w:rsidRDefault="00D4483D" w:rsidP="00674A72">
            <w:pPr>
              <w:jc w:val="center"/>
              <w:rPr>
                <w:b/>
                <w:bCs/>
                <w:color w:val="000000"/>
              </w:rPr>
            </w:pPr>
            <w:r w:rsidRPr="00660A29">
              <w:rPr>
                <w:b/>
                <w:bCs/>
                <w:color w:val="000000"/>
              </w:rPr>
              <w:t>2</w:t>
            </w:r>
            <w:r>
              <w:rPr>
                <w:b/>
                <w:bCs/>
                <w:color w:val="000000"/>
              </w:rPr>
              <w:t>2751</w:t>
            </w:r>
          </w:p>
        </w:tc>
        <w:tc>
          <w:tcPr>
            <w:tcW w:w="331" w:type="pct"/>
            <w:tcBorders>
              <w:top w:val="single" w:sz="4" w:space="0" w:color="auto"/>
              <w:left w:val="nil"/>
              <w:bottom w:val="single" w:sz="4" w:space="0" w:color="auto"/>
              <w:right w:val="single" w:sz="4" w:space="0" w:color="auto"/>
            </w:tcBorders>
            <w:vAlign w:val="center"/>
          </w:tcPr>
          <w:p w:rsidR="00D4483D" w:rsidRPr="00660A29" w:rsidRDefault="00D4483D" w:rsidP="00674A72">
            <w:pPr>
              <w:jc w:val="center"/>
              <w:rPr>
                <w:b/>
                <w:bCs/>
                <w:color w:val="000000"/>
              </w:rPr>
            </w:pPr>
            <w:r w:rsidRPr="00660A29">
              <w:rPr>
                <w:b/>
                <w:bCs/>
                <w:color w:val="000000"/>
              </w:rPr>
              <w:t>2</w:t>
            </w:r>
            <w:r>
              <w:rPr>
                <w:b/>
                <w:bCs/>
                <w:color w:val="000000"/>
              </w:rPr>
              <w:t>2751</w:t>
            </w:r>
          </w:p>
        </w:tc>
      </w:tr>
      <w:tr w:rsidR="00D4483D" w:rsidRPr="00660A29" w:rsidTr="00660A29">
        <w:trPr>
          <w:trHeight w:val="315"/>
          <w:jc w:val="center"/>
        </w:trPr>
        <w:tc>
          <w:tcPr>
            <w:tcW w:w="871" w:type="pct"/>
            <w:tcBorders>
              <w:top w:val="nil"/>
              <w:left w:val="single" w:sz="4" w:space="0" w:color="auto"/>
              <w:bottom w:val="single" w:sz="4" w:space="0" w:color="auto"/>
              <w:right w:val="single" w:sz="4" w:space="0" w:color="auto"/>
            </w:tcBorders>
            <w:noWrap/>
            <w:vAlign w:val="bottom"/>
          </w:tcPr>
          <w:p w:rsidR="00D4483D" w:rsidRPr="00660A29" w:rsidRDefault="00D4483D" w:rsidP="00B02B6B">
            <w:r w:rsidRPr="00660A29">
              <w:rPr>
                <w:b/>
              </w:rPr>
              <w:t>Travaux réalisés</w:t>
            </w:r>
          </w:p>
          <w:p w:rsidR="00D4483D" w:rsidRPr="00660A29" w:rsidRDefault="00D4483D" w:rsidP="00B02B6B">
            <w:pPr>
              <w:rPr>
                <w:highlight w:val="yellow"/>
              </w:rPr>
            </w:pPr>
            <w:r w:rsidRPr="00660A29">
              <w:t>(valeur 2012)</w:t>
            </w:r>
          </w:p>
        </w:tc>
        <w:tc>
          <w:tcPr>
            <w:tcW w:w="315" w:type="pct"/>
            <w:tcBorders>
              <w:top w:val="nil"/>
              <w:left w:val="nil"/>
              <w:bottom w:val="single" w:sz="4" w:space="0" w:color="auto"/>
              <w:right w:val="single" w:sz="4" w:space="0" w:color="auto"/>
            </w:tcBorders>
            <w:noWrap/>
            <w:vAlign w:val="center"/>
          </w:tcPr>
          <w:p w:rsidR="00D4483D" w:rsidRPr="00660A29" w:rsidRDefault="00D4483D" w:rsidP="00660A29">
            <w:pPr>
              <w:jc w:val="center"/>
              <w:rPr>
                <w:b/>
                <w:bCs/>
                <w:color w:val="000000"/>
              </w:rPr>
            </w:pPr>
            <w:r w:rsidRPr="00660A29">
              <w:rPr>
                <w:b/>
                <w:bCs/>
                <w:color w:val="000000"/>
              </w:rPr>
              <w:t>79 061</w:t>
            </w:r>
          </w:p>
        </w:tc>
        <w:tc>
          <w:tcPr>
            <w:tcW w:w="315" w:type="pct"/>
            <w:tcBorders>
              <w:top w:val="nil"/>
              <w:left w:val="nil"/>
              <w:bottom w:val="single" w:sz="4" w:space="0" w:color="auto"/>
              <w:right w:val="single" w:sz="4" w:space="0" w:color="auto"/>
            </w:tcBorders>
            <w:noWrap/>
            <w:vAlign w:val="center"/>
          </w:tcPr>
          <w:p w:rsidR="00D4483D" w:rsidRPr="00660A29" w:rsidRDefault="00D4483D" w:rsidP="00660A29">
            <w:pPr>
              <w:jc w:val="center"/>
              <w:rPr>
                <w:b/>
                <w:bCs/>
                <w:color w:val="000000"/>
              </w:rPr>
            </w:pPr>
            <w:r w:rsidRPr="00660A29">
              <w:rPr>
                <w:b/>
                <w:bCs/>
                <w:color w:val="000000"/>
              </w:rPr>
              <w:t>7 870</w:t>
            </w:r>
          </w:p>
        </w:tc>
        <w:tc>
          <w:tcPr>
            <w:tcW w:w="315" w:type="pct"/>
            <w:tcBorders>
              <w:top w:val="nil"/>
              <w:left w:val="nil"/>
              <w:bottom w:val="single" w:sz="4" w:space="0" w:color="auto"/>
              <w:right w:val="single" w:sz="4" w:space="0" w:color="auto"/>
            </w:tcBorders>
            <w:noWrap/>
            <w:vAlign w:val="center"/>
          </w:tcPr>
          <w:p w:rsidR="00D4483D" w:rsidRPr="00660A29" w:rsidRDefault="00D4483D" w:rsidP="00660A29">
            <w:pPr>
              <w:jc w:val="center"/>
              <w:rPr>
                <w:b/>
                <w:bCs/>
                <w:color w:val="000000"/>
              </w:rPr>
            </w:pPr>
            <w:r w:rsidRPr="00660A29">
              <w:rPr>
                <w:b/>
                <w:bCs/>
                <w:color w:val="000000"/>
              </w:rPr>
              <w:t>2 007</w:t>
            </w:r>
          </w:p>
        </w:tc>
        <w:tc>
          <w:tcPr>
            <w:tcW w:w="315" w:type="pct"/>
            <w:tcBorders>
              <w:top w:val="nil"/>
              <w:left w:val="nil"/>
              <w:bottom w:val="single" w:sz="4" w:space="0" w:color="auto"/>
              <w:right w:val="single" w:sz="4" w:space="0" w:color="auto"/>
            </w:tcBorders>
            <w:noWrap/>
            <w:vAlign w:val="center"/>
          </w:tcPr>
          <w:p w:rsidR="00D4483D" w:rsidRPr="00660A29" w:rsidRDefault="00D4483D" w:rsidP="00660A29">
            <w:pPr>
              <w:jc w:val="center"/>
              <w:rPr>
                <w:b/>
                <w:bCs/>
                <w:color w:val="000000"/>
              </w:rPr>
            </w:pPr>
            <w:r w:rsidRPr="00660A29">
              <w:rPr>
                <w:b/>
                <w:bCs/>
                <w:color w:val="000000"/>
              </w:rPr>
              <w:t>3 545</w:t>
            </w:r>
          </w:p>
        </w:tc>
        <w:tc>
          <w:tcPr>
            <w:tcW w:w="315" w:type="pct"/>
            <w:tcBorders>
              <w:top w:val="nil"/>
              <w:left w:val="nil"/>
              <w:bottom w:val="single" w:sz="4" w:space="0" w:color="auto"/>
              <w:right w:val="single" w:sz="4" w:space="0" w:color="auto"/>
            </w:tcBorders>
            <w:noWrap/>
            <w:vAlign w:val="center"/>
          </w:tcPr>
          <w:p w:rsidR="00D4483D" w:rsidRPr="00660A29" w:rsidRDefault="00D4483D" w:rsidP="00660A29">
            <w:pPr>
              <w:jc w:val="center"/>
              <w:rPr>
                <w:b/>
                <w:bCs/>
                <w:color w:val="000000"/>
              </w:rPr>
            </w:pPr>
            <w:r w:rsidRPr="00660A29">
              <w:rPr>
                <w:b/>
                <w:bCs/>
                <w:color w:val="000000"/>
              </w:rPr>
              <w:t>0</w:t>
            </w:r>
          </w:p>
        </w:tc>
        <w:tc>
          <w:tcPr>
            <w:tcW w:w="315" w:type="pct"/>
            <w:tcBorders>
              <w:top w:val="single" w:sz="4" w:space="0" w:color="auto"/>
              <w:left w:val="nil"/>
              <w:bottom w:val="single" w:sz="4" w:space="0" w:color="auto"/>
              <w:right w:val="single" w:sz="4" w:space="0" w:color="auto"/>
            </w:tcBorders>
            <w:vAlign w:val="center"/>
          </w:tcPr>
          <w:p w:rsidR="00D4483D" w:rsidRPr="00660A29" w:rsidRDefault="00D4483D" w:rsidP="00660A29">
            <w:pPr>
              <w:jc w:val="center"/>
              <w:rPr>
                <w:b/>
                <w:bCs/>
                <w:color w:val="000000"/>
              </w:rPr>
            </w:pPr>
            <w:r w:rsidRPr="00660A29">
              <w:rPr>
                <w:b/>
                <w:bCs/>
                <w:color w:val="000000"/>
              </w:rPr>
              <w:t>10 952</w:t>
            </w:r>
          </w:p>
        </w:tc>
        <w:tc>
          <w:tcPr>
            <w:tcW w:w="315" w:type="pct"/>
            <w:tcBorders>
              <w:top w:val="nil"/>
              <w:left w:val="single" w:sz="4" w:space="0" w:color="auto"/>
              <w:bottom w:val="single" w:sz="4" w:space="0" w:color="auto"/>
              <w:right w:val="single" w:sz="4" w:space="0" w:color="auto"/>
            </w:tcBorders>
            <w:vAlign w:val="center"/>
          </w:tcPr>
          <w:p w:rsidR="00D4483D" w:rsidRPr="00660A29" w:rsidRDefault="00D4483D" w:rsidP="00660A29">
            <w:pPr>
              <w:jc w:val="center"/>
              <w:rPr>
                <w:b/>
                <w:bCs/>
                <w:color w:val="000000"/>
              </w:rPr>
            </w:pPr>
            <w:r w:rsidRPr="00660A29">
              <w:rPr>
                <w:b/>
                <w:bCs/>
                <w:color w:val="000000"/>
              </w:rPr>
              <w:t>1 432</w:t>
            </w:r>
          </w:p>
        </w:tc>
        <w:tc>
          <w:tcPr>
            <w:tcW w:w="315" w:type="pct"/>
            <w:tcBorders>
              <w:top w:val="nil"/>
              <w:left w:val="nil"/>
              <w:bottom w:val="single" w:sz="4" w:space="0" w:color="auto"/>
              <w:right w:val="single" w:sz="4" w:space="0" w:color="auto"/>
            </w:tcBorders>
            <w:vAlign w:val="center"/>
          </w:tcPr>
          <w:p w:rsidR="00D4483D" w:rsidRPr="00660A29" w:rsidRDefault="00D4483D" w:rsidP="00660A29">
            <w:pPr>
              <w:jc w:val="center"/>
              <w:rPr>
                <w:b/>
                <w:bCs/>
                <w:color w:val="000000"/>
              </w:rPr>
            </w:pPr>
            <w:r w:rsidRPr="00660A29">
              <w:rPr>
                <w:b/>
                <w:bCs/>
                <w:color w:val="000000"/>
              </w:rPr>
              <w:t>0</w:t>
            </w:r>
          </w:p>
        </w:tc>
        <w:tc>
          <w:tcPr>
            <w:tcW w:w="333" w:type="pct"/>
            <w:tcBorders>
              <w:top w:val="nil"/>
              <w:left w:val="nil"/>
              <w:bottom w:val="single" w:sz="4" w:space="0" w:color="auto"/>
              <w:right w:val="single" w:sz="4" w:space="0" w:color="auto"/>
            </w:tcBorders>
            <w:vAlign w:val="center"/>
          </w:tcPr>
          <w:p w:rsidR="00D4483D" w:rsidRPr="00660A29" w:rsidRDefault="00D4483D" w:rsidP="00660A29">
            <w:pPr>
              <w:jc w:val="center"/>
              <w:rPr>
                <w:b/>
                <w:bCs/>
                <w:color w:val="000000"/>
              </w:rPr>
            </w:pPr>
            <w:r w:rsidRPr="00660A29">
              <w:rPr>
                <w:b/>
                <w:bCs/>
                <w:color w:val="000000"/>
              </w:rPr>
              <w:t>1 108</w:t>
            </w:r>
          </w:p>
        </w:tc>
        <w:tc>
          <w:tcPr>
            <w:tcW w:w="297" w:type="pct"/>
            <w:tcBorders>
              <w:top w:val="nil"/>
              <w:left w:val="nil"/>
              <w:bottom w:val="single" w:sz="4" w:space="0" w:color="auto"/>
              <w:right w:val="single" w:sz="4" w:space="0" w:color="auto"/>
            </w:tcBorders>
            <w:noWrap/>
            <w:vAlign w:val="center"/>
          </w:tcPr>
          <w:p w:rsidR="00D4483D" w:rsidRPr="00660A29" w:rsidRDefault="00D4483D" w:rsidP="00660A29">
            <w:pPr>
              <w:jc w:val="center"/>
              <w:rPr>
                <w:b/>
                <w:bCs/>
                <w:color w:val="000000"/>
              </w:rPr>
            </w:pPr>
            <w:r w:rsidRPr="00660A29">
              <w:rPr>
                <w:b/>
                <w:bCs/>
                <w:color w:val="000000"/>
              </w:rPr>
              <w:t>29 866</w:t>
            </w:r>
          </w:p>
        </w:tc>
        <w:tc>
          <w:tcPr>
            <w:tcW w:w="315" w:type="pct"/>
            <w:tcBorders>
              <w:top w:val="nil"/>
              <w:left w:val="nil"/>
              <w:bottom w:val="single" w:sz="4" w:space="0" w:color="auto"/>
              <w:right w:val="single" w:sz="4" w:space="0" w:color="auto"/>
            </w:tcBorders>
            <w:noWrap/>
            <w:vAlign w:val="center"/>
          </w:tcPr>
          <w:p w:rsidR="00D4483D" w:rsidRPr="00660A29" w:rsidRDefault="00D4483D" w:rsidP="00660A29">
            <w:pPr>
              <w:jc w:val="center"/>
              <w:rPr>
                <w:b/>
                <w:bCs/>
                <w:color w:val="000000"/>
              </w:rPr>
            </w:pPr>
            <w:r w:rsidRPr="00660A29">
              <w:rPr>
                <w:b/>
                <w:bCs/>
                <w:color w:val="000000"/>
              </w:rPr>
              <w:t>35 452</w:t>
            </w:r>
          </w:p>
        </w:tc>
        <w:tc>
          <w:tcPr>
            <w:tcW w:w="333" w:type="pct"/>
            <w:tcBorders>
              <w:top w:val="nil"/>
              <w:left w:val="nil"/>
              <w:bottom w:val="single" w:sz="4" w:space="0" w:color="auto"/>
              <w:right w:val="single" w:sz="4" w:space="0" w:color="auto"/>
            </w:tcBorders>
            <w:vAlign w:val="center"/>
          </w:tcPr>
          <w:p w:rsidR="00D4483D" w:rsidRPr="00660A29" w:rsidRDefault="00D4483D" w:rsidP="00660A29">
            <w:pPr>
              <w:jc w:val="center"/>
              <w:rPr>
                <w:b/>
                <w:bCs/>
                <w:color w:val="000000"/>
              </w:rPr>
            </w:pPr>
            <w:r w:rsidRPr="00660A29">
              <w:rPr>
                <w:b/>
                <w:bCs/>
                <w:color w:val="000000"/>
              </w:rPr>
              <w:t>0</w:t>
            </w:r>
          </w:p>
        </w:tc>
        <w:tc>
          <w:tcPr>
            <w:tcW w:w="331" w:type="pct"/>
            <w:tcBorders>
              <w:top w:val="nil"/>
              <w:left w:val="nil"/>
              <w:bottom w:val="single" w:sz="4" w:space="0" w:color="auto"/>
              <w:right w:val="single" w:sz="4" w:space="0" w:color="auto"/>
            </w:tcBorders>
            <w:vAlign w:val="center"/>
          </w:tcPr>
          <w:p w:rsidR="00D4483D" w:rsidRPr="00660A29" w:rsidRDefault="00D4483D" w:rsidP="00660A29">
            <w:pPr>
              <w:jc w:val="center"/>
              <w:rPr>
                <w:b/>
                <w:bCs/>
                <w:color w:val="000000"/>
              </w:rPr>
            </w:pPr>
            <w:r w:rsidRPr="00660A29">
              <w:rPr>
                <w:b/>
                <w:bCs/>
                <w:color w:val="000000"/>
              </w:rPr>
              <w:t>0</w:t>
            </w:r>
          </w:p>
        </w:tc>
      </w:tr>
      <w:tr w:rsidR="00D4483D" w:rsidRPr="00660A29" w:rsidTr="00660A29">
        <w:trPr>
          <w:trHeight w:val="315"/>
          <w:jc w:val="center"/>
        </w:trPr>
        <w:tc>
          <w:tcPr>
            <w:tcW w:w="871" w:type="pct"/>
            <w:tcBorders>
              <w:top w:val="nil"/>
              <w:left w:val="single" w:sz="4" w:space="0" w:color="auto"/>
              <w:bottom w:val="single" w:sz="4" w:space="0" w:color="auto"/>
              <w:right w:val="single" w:sz="4" w:space="0" w:color="auto"/>
            </w:tcBorders>
            <w:noWrap/>
            <w:vAlign w:val="bottom"/>
          </w:tcPr>
          <w:p w:rsidR="00D4483D" w:rsidRPr="00B36188" w:rsidRDefault="00D4483D" w:rsidP="00B02B6B">
            <w:pPr>
              <w:rPr>
                <w:i/>
                <w:sz w:val="20"/>
              </w:rPr>
            </w:pPr>
            <w:r w:rsidRPr="00B36188">
              <w:rPr>
                <w:i/>
                <w:sz w:val="20"/>
              </w:rPr>
              <w:t>dont branchements</w:t>
            </w:r>
          </w:p>
        </w:tc>
        <w:tc>
          <w:tcPr>
            <w:tcW w:w="315" w:type="pct"/>
            <w:tcBorders>
              <w:top w:val="nil"/>
              <w:left w:val="nil"/>
              <w:bottom w:val="single" w:sz="4" w:space="0" w:color="auto"/>
              <w:right w:val="single" w:sz="4" w:space="0" w:color="auto"/>
            </w:tcBorders>
            <w:noWrap/>
            <w:vAlign w:val="center"/>
          </w:tcPr>
          <w:p w:rsidR="00D4483D" w:rsidRPr="00B36188" w:rsidRDefault="00D4483D" w:rsidP="00660A29">
            <w:pPr>
              <w:jc w:val="center"/>
              <w:rPr>
                <w:i/>
                <w:color w:val="000000"/>
                <w:sz w:val="20"/>
              </w:rPr>
            </w:pPr>
            <w:r w:rsidRPr="00B36188">
              <w:rPr>
                <w:i/>
                <w:color w:val="000000"/>
                <w:sz w:val="20"/>
              </w:rPr>
              <w:t>0</w:t>
            </w:r>
          </w:p>
        </w:tc>
        <w:tc>
          <w:tcPr>
            <w:tcW w:w="315" w:type="pct"/>
            <w:tcBorders>
              <w:top w:val="nil"/>
              <w:left w:val="nil"/>
              <w:bottom w:val="single" w:sz="4" w:space="0" w:color="auto"/>
              <w:right w:val="single" w:sz="4" w:space="0" w:color="auto"/>
            </w:tcBorders>
            <w:noWrap/>
            <w:vAlign w:val="center"/>
          </w:tcPr>
          <w:p w:rsidR="00D4483D" w:rsidRPr="00B36188" w:rsidRDefault="00D4483D" w:rsidP="00660A29">
            <w:pPr>
              <w:jc w:val="center"/>
              <w:rPr>
                <w:i/>
                <w:color w:val="000000"/>
                <w:sz w:val="20"/>
              </w:rPr>
            </w:pPr>
            <w:r w:rsidRPr="00B36188">
              <w:rPr>
                <w:i/>
                <w:color w:val="000000"/>
                <w:sz w:val="20"/>
              </w:rPr>
              <w:t>0</w:t>
            </w:r>
          </w:p>
        </w:tc>
        <w:tc>
          <w:tcPr>
            <w:tcW w:w="315" w:type="pct"/>
            <w:tcBorders>
              <w:top w:val="nil"/>
              <w:left w:val="nil"/>
              <w:bottom w:val="single" w:sz="4" w:space="0" w:color="auto"/>
              <w:right w:val="single" w:sz="4" w:space="0" w:color="auto"/>
            </w:tcBorders>
            <w:noWrap/>
            <w:vAlign w:val="center"/>
          </w:tcPr>
          <w:p w:rsidR="00D4483D" w:rsidRPr="00B36188" w:rsidRDefault="00D4483D" w:rsidP="00660A29">
            <w:pPr>
              <w:jc w:val="center"/>
              <w:rPr>
                <w:i/>
                <w:color w:val="000000"/>
                <w:sz w:val="20"/>
              </w:rPr>
            </w:pPr>
            <w:r w:rsidRPr="00B36188">
              <w:rPr>
                <w:i/>
                <w:color w:val="000000"/>
                <w:sz w:val="20"/>
              </w:rPr>
              <w:t>0</w:t>
            </w:r>
          </w:p>
        </w:tc>
        <w:tc>
          <w:tcPr>
            <w:tcW w:w="315" w:type="pct"/>
            <w:tcBorders>
              <w:top w:val="nil"/>
              <w:left w:val="nil"/>
              <w:bottom w:val="single" w:sz="4" w:space="0" w:color="auto"/>
              <w:right w:val="single" w:sz="4" w:space="0" w:color="auto"/>
            </w:tcBorders>
            <w:noWrap/>
            <w:vAlign w:val="center"/>
          </w:tcPr>
          <w:p w:rsidR="00D4483D" w:rsidRPr="00B36188" w:rsidRDefault="00D4483D" w:rsidP="00660A29">
            <w:pPr>
              <w:jc w:val="center"/>
              <w:rPr>
                <w:i/>
                <w:color w:val="000000"/>
                <w:sz w:val="20"/>
              </w:rPr>
            </w:pPr>
            <w:r w:rsidRPr="00B36188">
              <w:rPr>
                <w:i/>
                <w:color w:val="000000"/>
                <w:sz w:val="20"/>
              </w:rPr>
              <w:t>0</w:t>
            </w:r>
          </w:p>
        </w:tc>
        <w:tc>
          <w:tcPr>
            <w:tcW w:w="315" w:type="pct"/>
            <w:tcBorders>
              <w:top w:val="nil"/>
              <w:left w:val="nil"/>
              <w:bottom w:val="single" w:sz="4" w:space="0" w:color="auto"/>
              <w:right w:val="single" w:sz="4" w:space="0" w:color="auto"/>
            </w:tcBorders>
            <w:noWrap/>
            <w:vAlign w:val="center"/>
          </w:tcPr>
          <w:p w:rsidR="00D4483D" w:rsidRPr="00B36188" w:rsidRDefault="00D4483D" w:rsidP="00660A29">
            <w:pPr>
              <w:jc w:val="center"/>
              <w:rPr>
                <w:i/>
                <w:color w:val="000000"/>
                <w:sz w:val="20"/>
              </w:rPr>
            </w:pPr>
            <w:r w:rsidRPr="00B36188">
              <w:rPr>
                <w:i/>
                <w:color w:val="000000"/>
                <w:sz w:val="20"/>
              </w:rPr>
              <w:t>0</w:t>
            </w:r>
          </w:p>
        </w:tc>
        <w:tc>
          <w:tcPr>
            <w:tcW w:w="315" w:type="pct"/>
            <w:tcBorders>
              <w:top w:val="single" w:sz="4" w:space="0" w:color="auto"/>
              <w:left w:val="nil"/>
              <w:bottom w:val="single" w:sz="4" w:space="0" w:color="auto"/>
              <w:right w:val="single" w:sz="4" w:space="0" w:color="auto"/>
            </w:tcBorders>
            <w:vAlign w:val="center"/>
          </w:tcPr>
          <w:p w:rsidR="00D4483D" w:rsidRPr="00B36188" w:rsidRDefault="00D4483D" w:rsidP="00660A29">
            <w:pPr>
              <w:jc w:val="center"/>
              <w:rPr>
                <w:i/>
                <w:color w:val="000000"/>
                <w:sz w:val="20"/>
              </w:rPr>
            </w:pPr>
            <w:r w:rsidRPr="00B36188">
              <w:rPr>
                <w:i/>
                <w:color w:val="000000"/>
                <w:sz w:val="20"/>
              </w:rPr>
              <w:t>7 798</w:t>
            </w:r>
          </w:p>
        </w:tc>
        <w:tc>
          <w:tcPr>
            <w:tcW w:w="315" w:type="pct"/>
            <w:tcBorders>
              <w:top w:val="nil"/>
              <w:left w:val="single" w:sz="4" w:space="0" w:color="auto"/>
              <w:bottom w:val="single" w:sz="4" w:space="0" w:color="auto"/>
              <w:right w:val="single" w:sz="4" w:space="0" w:color="auto"/>
            </w:tcBorders>
            <w:vAlign w:val="center"/>
          </w:tcPr>
          <w:p w:rsidR="00D4483D" w:rsidRPr="00B36188" w:rsidRDefault="00D4483D" w:rsidP="00660A29">
            <w:pPr>
              <w:jc w:val="center"/>
              <w:rPr>
                <w:i/>
                <w:color w:val="000000"/>
                <w:sz w:val="20"/>
              </w:rPr>
            </w:pPr>
            <w:r w:rsidRPr="00B36188">
              <w:rPr>
                <w:i/>
                <w:color w:val="000000"/>
                <w:sz w:val="20"/>
              </w:rPr>
              <w:t>0</w:t>
            </w:r>
          </w:p>
        </w:tc>
        <w:tc>
          <w:tcPr>
            <w:tcW w:w="315" w:type="pct"/>
            <w:tcBorders>
              <w:top w:val="nil"/>
              <w:left w:val="nil"/>
              <w:bottom w:val="single" w:sz="4" w:space="0" w:color="auto"/>
              <w:right w:val="single" w:sz="4" w:space="0" w:color="auto"/>
            </w:tcBorders>
            <w:vAlign w:val="center"/>
          </w:tcPr>
          <w:p w:rsidR="00D4483D" w:rsidRPr="00B36188" w:rsidRDefault="00D4483D" w:rsidP="00660A29">
            <w:pPr>
              <w:jc w:val="center"/>
              <w:rPr>
                <w:i/>
                <w:color w:val="000000"/>
                <w:sz w:val="20"/>
              </w:rPr>
            </w:pPr>
            <w:r w:rsidRPr="00B36188">
              <w:rPr>
                <w:i/>
                <w:color w:val="000000"/>
                <w:sz w:val="20"/>
              </w:rPr>
              <w:t>0</w:t>
            </w:r>
          </w:p>
        </w:tc>
        <w:tc>
          <w:tcPr>
            <w:tcW w:w="333" w:type="pct"/>
            <w:tcBorders>
              <w:top w:val="nil"/>
              <w:left w:val="nil"/>
              <w:bottom w:val="single" w:sz="4" w:space="0" w:color="auto"/>
              <w:right w:val="single" w:sz="4" w:space="0" w:color="auto"/>
            </w:tcBorders>
            <w:vAlign w:val="center"/>
          </w:tcPr>
          <w:p w:rsidR="00D4483D" w:rsidRPr="00B36188" w:rsidRDefault="00D4483D" w:rsidP="00660A29">
            <w:pPr>
              <w:jc w:val="center"/>
              <w:rPr>
                <w:i/>
                <w:color w:val="000000"/>
                <w:sz w:val="20"/>
              </w:rPr>
            </w:pPr>
            <w:r w:rsidRPr="00B36188">
              <w:rPr>
                <w:i/>
                <w:color w:val="000000"/>
                <w:sz w:val="20"/>
              </w:rPr>
              <w:t>0</w:t>
            </w:r>
          </w:p>
        </w:tc>
        <w:tc>
          <w:tcPr>
            <w:tcW w:w="297" w:type="pct"/>
            <w:tcBorders>
              <w:top w:val="nil"/>
              <w:left w:val="nil"/>
              <w:bottom w:val="single" w:sz="4" w:space="0" w:color="auto"/>
              <w:right w:val="single" w:sz="4" w:space="0" w:color="auto"/>
            </w:tcBorders>
            <w:noWrap/>
            <w:vAlign w:val="center"/>
          </w:tcPr>
          <w:p w:rsidR="00D4483D" w:rsidRPr="00B36188" w:rsidRDefault="00D4483D" w:rsidP="00660A29">
            <w:pPr>
              <w:jc w:val="center"/>
              <w:rPr>
                <w:i/>
                <w:color w:val="000000"/>
                <w:sz w:val="20"/>
              </w:rPr>
            </w:pPr>
            <w:r w:rsidRPr="00B36188">
              <w:rPr>
                <w:i/>
                <w:color w:val="000000"/>
                <w:sz w:val="20"/>
              </w:rPr>
              <w:t>29 866</w:t>
            </w:r>
          </w:p>
        </w:tc>
        <w:tc>
          <w:tcPr>
            <w:tcW w:w="315" w:type="pct"/>
            <w:tcBorders>
              <w:top w:val="nil"/>
              <w:left w:val="nil"/>
              <w:bottom w:val="single" w:sz="4" w:space="0" w:color="auto"/>
              <w:right w:val="single" w:sz="4" w:space="0" w:color="auto"/>
            </w:tcBorders>
            <w:noWrap/>
            <w:vAlign w:val="center"/>
          </w:tcPr>
          <w:p w:rsidR="00D4483D" w:rsidRPr="00B36188" w:rsidRDefault="00D4483D" w:rsidP="00660A29">
            <w:pPr>
              <w:jc w:val="center"/>
              <w:rPr>
                <w:i/>
                <w:color w:val="000000"/>
                <w:sz w:val="20"/>
              </w:rPr>
            </w:pPr>
            <w:r w:rsidRPr="00B36188">
              <w:rPr>
                <w:i/>
                <w:color w:val="000000"/>
                <w:sz w:val="20"/>
              </w:rPr>
              <w:t>35 452</w:t>
            </w:r>
          </w:p>
        </w:tc>
        <w:tc>
          <w:tcPr>
            <w:tcW w:w="333" w:type="pct"/>
            <w:tcBorders>
              <w:top w:val="nil"/>
              <w:left w:val="nil"/>
              <w:bottom w:val="single" w:sz="4" w:space="0" w:color="auto"/>
              <w:right w:val="single" w:sz="4" w:space="0" w:color="auto"/>
            </w:tcBorders>
            <w:vAlign w:val="center"/>
          </w:tcPr>
          <w:p w:rsidR="00D4483D" w:rsidRPr="00B36188" w:rsidRDefault="00D4483D" w:rsidP="00660A29">
            <w:pPr>
              <w:jc w:val="center"/>
              <w:rPr>
                <w:i/>
                <w:color w:val="000000"/>
                <w:sz w:val="20"/>
              </w:rPr>
            </w:pPr>
            <w:r w:rsidRPr="00B36188">
              <w:rPr>
                <w:i/>
                <w:color w:val="000000"/>
                <w:sz w:val="20"/>
              </w:rPr>
              <w:t>0</w:t>
            </w:r>
          </w:p>
        </w:tc>
        <w:tc>
          <w:tcPr>
            <w:tcW w:w="331" w:type="pct"/>
            <w:tcBorders>
              <w:top w:val="nil"/>
              <w:left w:val="nil"/>
              <w:bottom w:val="single" w:sz="4" w:space="0" w:color="auto"/>
              <w:right w:val="single" w:sz="4" w:space="0" w:color="auto"/>
            </w:tcBorders>
            <w:vAlign w:val="center"/>
          </w:tcPr>
          <w:p w:rsidR="00D4483D" w:rsidRPr="00B36188" w:rsidRDefault="00D4483D" w:rsidP="00660A29">
            <w:pPr>
              <w:jc w:val="center"/>
              <w:rPr>
                <w:i/>
                <w:color w:val="000000"/>
                <w:sz w:val="20"/>
              </w:rPr>
            </w:pPr>
            <w:r w:rsidRPr="00B36188">
              <w:rPr>
                <w:i/>
                <w:color w:val="000000"/>
                <w:sz w:val="20"/>
              </w:rPr>
              <w:t>0</w:t>
            </w:r>
          </w:p>
        </w:tc>
      </w:tr>
      <w:tr w:rsidR="00D4483D" w:rsidRPr="00660A29" w:rsidTr="00660A29">
        <w:trPr>
          <w:trHeight w:val="315"/>
          <w:jc w:val="center"/>
        </w:trPr>
        <w:tc>
          <w:tcPr>
            <w:tcW w:w="871" w:type="pct"/>
            <w:tcBorders>
              <w:top w:val="nil"/>
              <w:left w:val="single" w:sz="4" w:space="0" w:color="auto"/>
              <w:bottom w:val="single" w:sz="4" w:space="0" w:color="auto"/>
              <w:right w:val="single" w:sz="4" w:space="0" w:color="auto"/>
            </w:tcBorders>
            <w:noWrap/>
            <w:vAlign w:val="bottom"/>
          </w:tcPr>
          <w:p w:rsidR="00D4483D" w:rsidRPr="00B36188" w:rsidRDefault="00D4483D" w:rsidP="00B02B6B">
            <w:pPr>
              <w:rPr>
                <w:i/>
                <w:sz w:val="20"/>
              </w:rPr>
            </w:pPr>
            <w:r w:rsidRPr="00B36188">
              <w:rPr>
                <w:i/>
                <w:sz w:val="20"/>
              </w:rPr>
              <w:t>dont équipements ouvrages</w:t>
            </w:r>
          </w:p>
        </w:tc>
        <w:tc>
          <w:tcPr>
            <w:tcW w:w="315" w:type="pct"/>
            <w:tcBorders>
              <w:top w:val="nil"/>
              <w:left w:val="nil"/>
              <w:bottom w:val="single" w:sz="4" w:space="0" w:color="auto"/>
              <w:right w:val="single" w:sz="4" w:space="0" w:color="auto"/>
            </w:tcBorders>
            <w:noWrap/>
            <w:vAlign w:val="center"/>
          </w:tcPr>
          <w:p w:rsidR="00D4483D" w:rsidRPr="00B36188" w:rsidRDefault="00D4483D" w:rsidP="00660A29">
            <w:pPr>
              <w:jc w:val="center"/>
              <w:rPr>
                <w:i/>
                <w:color w:val="000000"/>
                <w:sz w:val="20"/>
              </w:rPr>
            </w:pPr>
            <w:r w:rsidRPr="00B36188">
              <w:rPr>
                <w:i/>
                <w:color w:val="000000"/>
                <w:sz w:val="20"/>
              </w:rPr>
              <w:t>79 061</w:t>
            </w:r>
          </w:p>
        </w:tc>
        <w:tc>
          <w:tcPr>
            <w:tcW w:w="315" w:type="pct"/>
            <w:tcBorders>
              <w:top w:val="nil"/>
              <w:left w:val="nil"/>
              <w:bottom w:val="single" w:sz="4" w:space="0" w:color="auto"/>
              <w:right w:val="single" w:sz="4" w:space="0" w:color="auto"/>
            </w:tcBorders>
            <w:noWrap/>
            <w:vAlign w:val="center"/>
          </w:tcPr>
          <w:p w:rsidR="00D4483D" w:rsidRPr="00B36188" w:rsidRDefault="00D4483D" w:rsidP="00660A29">
            <w:pPr>
              <w:jc w:val="center"/>
              <w:rPr>
                <w:i/>
                <w:color w:val="000000"/>
                <w:sz w:val="20"/>
              </w:rPr>
            </w:pPr>
            <w:r w:rsidRPr="00B36188">
              <w:rPr>
                <w:i/>
                <w:color w:val="000000"/>
                <w:sz w:val="20"/>
              </w:rPr>
              <w:t>7 870</w:t>
            </w:r>
          </w:p>
        </w:tc>
        <w:tc>
          <w:tcPr>
            <w:tcW w:w="315" w:type="pct"/>
            <w:tcBorders>
              <w:top w:val="nil"/>
              <w:left w:val="nil"/>
              <w:bottom w:val="single" w:sz="4" w:space="0" w:color="auto"/>
              <w:right w:val="single" w:sz="4" w:space="0" w:color="auto"/>
            </w:tcBorders>
            <w:noWrap/>
            <w:vAlign w:val="center"/>
          </w:tcPr>
          <w:p w:rsidR="00D4483D" w:rsidRPr="00B36188" w:rsidRDefault="00D4483D" w:rsidP="00660A29">
            <w:pPr>
              <w:jc w:val="center"/>
              <w:rPr>
                <w:i/>
                <w:color w:val="000000"/>
                <w:sz w:val="20"/>
              </w:rPr>
            </w:pPr>
            <w:r w:rsidRPr="00B36188">
              <w:rPr>
                <w:i/>
                <w:color w:val="000000"/>
                <w:sz w:val="20"/>
              </w:rPr>
              <w:t>2 007</w:t>
            </w:r>
          </w:p>
        </w:tc>
        <w:tc>
          <w:tcPr>
            <w:tcW w:w="315" w:type="pct"/>
            <w:tcBorders>
              <w:top w:val="nil"/>
              <w:left w:val="nil"/>
              <w:bottom w:val="single" w:sz="4" w:space="0" w:color="auto"/>
              <w:right w:val="single" w:sz="4" w:space="0" w:color="auto"/>
            </w:tcBorders>
            <w:noWrap/>
            <w:vAlign w:val="center"/>
          </w:tcPr>
          <w:p w:rsidR="00D4483D" w:rsidRPr="00B36188" w:rsidRDefault="00D4483D" w:rsidP="00660A29">
            <w:pPr>
              <w:jc w:val="center"/>
              <w:rPr>
                <w:i/>
                <w:color w:val="000000"/>
                <w:sz w:val="20"/>
              </w:rPr>
            </w:pPr>
            <w:r w:rsidRPr="00B36188">
              <w:rPr>
                <w:i/>
                <w:color w:val="000000"/>
                <w:sz w:val="20"/>
              </w:rPr>
              <w:t>3 545</w:t>
            </w:r>
          </w:p>
        </w:tc>
        <w:tc>
          <w:tcPr>
            <w:tcW w:w="315" w:type="pct"/>
            <w:tcBorders>
              <w:top w:val="nil"/>
              <w:left w:val="nil"/>
              <w:bottom w:val="single" w:sz="4" w:space="0" w:color="auto"/>
              <w:right w:val="single" w:sz="4" w:space="0" w:color="auto"/>
            </w:tcBorders>
            <w:noWrap/>
            <w:vAlign w:val="center"/>
          </w:tcPr>
          <w:p w:rsidR="00D4483D" w:rsidRPr="00B36188" w:rsidRDefault="00D4483D" w:rsidP="00660A29">
            <w:pPr>
              <w:jc w:val="center"/>
              <w:rPr>
                <w:i/>
                <w:color w:val="000000"/>
                <w:sz w:val="20"/>
              </w:rPr>
            </w:pPr>
            <w:r w:rsidRPr="00B36188">
              <w:rPr>
                <w:i/>
                <w:color w:val="000000"/>
                <w:sz w:val="20"/>
              </w:rPr>
              <w:t>0</w:t>
            </w:r>
          </w:p>
        </w:tc>
        <w:tc>
          <w:tcPr>
            <w:tcW w:w="315" w:type="pct"/>
            <w:tcBorders>
              <w:top w:val="single" w:sz="4" w:space="0" w:color="auto"/>
              <w:left w:val="nil"/>
              <w:bottom w:val="single" w:sz="4" w:space="0" w:color="auto"/>
              <w:right w:val="single" w:sz="4" w:space="0" w:color="auto"/>
            </w:tcBorders>
            <w:vAlign w:val="center"/>
          </w:tcPr>
          <w:p w:rsidR="00D4483D" w:rsidRPr="00B36188" w:rsidRDefault="00D4483D" w:rsidP="00660A29">
            <w:pPr>
              <w:jc w:val="center"/>
              <w:rPr>
                <w:i/>
                <w:color w:val="000000"/>
                <w:sz w:val="20"/>
              </w:rPr>
            </w:pPr>
            <w:r w:rsidRPr="00B36188">
              <w:rPr>
                <w:i/>
                <w:color w:val="000000"/>
                <w:sz w:val="20"/>
              </w:rPr>
              <w:t>3 155</w:t>
            </w:r>
          </w:p>
        </w:tc>
        <w:tc>
          <w:tcPr>
            <w:tcW w:w="315" w:type="pct"/>
            <w:tcBorders>
              <w:top w:val="nil"/>
              <w:left w:val="single" w:sz="4" w:space="0" w:color="auto"/>
              <w:bottom w:val="single" w:sz="4" w:space="0" w:color="auto"/>
              <w:right w:val="single" w:sz="4" w:space="0" w:color="auto"/>
            </w:tcBorders>
            <w:vAlign w:val="center"/>
          </w:tcPr>
          <w:p w:rsidR="00D4483D" w:rsidRPr="00B36188" w:rsidRDefault="00D4483D" w:rsidP="00660A29">
            <w:pPr>
              <w:jc w:val="center"/>
              <w:rPr>
                <w:i/>
                <w:color w:val="000000"/>
                <w:sz w:val="20"/>
              </w:rPr>
            </w:pPr>
            <w:r w:rsidRPr="00B36188">
              <w:rPr>
                <w:i/>
                <w:color w:val="000000"/>
                <w:sz w:val="20"/>
              </w:rPr>
              <w:t>1 432</w:t>
            </w:r>
          </w:p>
        </w:tc>
        <w:tc>
          <w:tcPr>
            <w:tcW w:w="315" w:type="pct"/>
            <w:tcBorders>
              <w:top w:val="nil"/>
              <w:left w:val="nil"/>
              <w:bottom w:val="single" w:sz="4" w:space="0" w:color="auto"/>
              <w:right w:val="single" w:sz="4" w:space="0" w:color="auto"/>
            </w:tcBorders>
            <w:vAlign w:val="center"/>
          </w:tcPr>
          <w:p w:rsidR="00D4483D" w:rsidRPr="00B36188" w:rsidRDefault="00D4483D" w:rsidP="00660A29">
            <w:pPr>
              <w:jc w:val="center"/>
              <w:rPr>
                <w:i/>
                <w:color w:val="000000"/>
                <w:sz w:val="20"/>
              </w:rPr>
            </w:pPr>
            <w:r w:rsidRPr="00B36188">
              <w:rPr>
                <w:i/>
                <w:color w:val="000000"/>
                <w:sz w:val="20"/>
              </w:rPr>
              <w:t>0</w:t>
            </w:r>
          </w:p>
        </w:tc>
        <w:tc>
          <w:tcPr>
            <w:tcW w:w="333" w:type="pct"/>
            <w:tcBorders>
              <w:top w:val="nil"/>
              <w:left w:val="nil"/>
              <w:bottom w:val="single" w:sz="4" w:space="0" w:color="auto"/>
              <w:right w:val="single" w:sz="4" w:space="0" w:color="auto"/>
            </w:tcBorders>
            <w:vAlign w:val="center"/>
          </w:tcPr>
          <w:p w:rsidR="00D4483D" w:rsidRPr="00B36188" w:rsidRDefault="00D4483D" w:rsidP="00660A29">
            <w:pPr>
              <w:jc w:val="center"/>
              <w:rPr>
                <w:i/>
                <w:color w:val="000000"/>
                <w:sz w:val="20"/>
              </w:rPr>
            </w:pPr>
            <w:r w:rsidRPr="00B36188">
              <w:rPr>
                <w:i/>
                <w:color w:val="000000"/>
                <w:sz w:val="20"/>
              </w:rPr>
              <w:t>1 108</w:t>
            </w:r>
          </w:p>
        </w:tc>
        <w:tc>
          <w:tcPr>
            <w:tcW w:w="297" w:type="pct"/>
            <w:tcBorders>
              <w:top w:val="nil"/>
              <w:left w:val="nil"/>
              <w:bottom w:val="single" w:sz="4" w:space="0" w:color="auto"/>
              <w:right w:val="single" w:sz="4" w:space="0" w:color="auto"/>
            </w:tcBorders>
            <w:noWrap/>
            <w:vAlign w:val="center"/>
          </w:tcPr>
          <w:p w:rsidR="00D4483D" w:rsidRPr="00B36188" w:rsidRDefault="00D4483D" w:rsidP="00660A29">
            <w:pPr>
              <w:jc w:val="center"/>
              <w:rPr>
                <w:i/>
                <w:color w:val="000000"/>
                <w:sz w:val="20"/>
              </w:rPr>
            </w:pPr>
            <w:r w:rsidRPr="00B36188">
              <w:rPr>
                <w:i/>
                <w:color w:val="000000"/>
                <w:sz w:val="20"/>
              </w:rPr>
              <w:t>0</w:t>
            </w:r>
          </w:p>
        </w:tc>
        <w:tc>
          <w:tcPr>
            <w:tcW w:w="315" w:type="pct"/>
            <w:tcBorders>
              <w:top w:val="nil"/>
              <w:left w:val="nil"/>
              <w:bottom w:val="single" w:sz="4" w:space="0" w:color="auto"/>
              <w:right w:val="single" w:sz="4" w:space="0" w:color="auto"/>
            </w:tcBorders>
            <w:noWrap/>
            <w:vAlign w:val="center"/>
          </w:tcPr>
          <w:p w:rsidR="00D4483D" w:rsidRPr="00B36188" w:rsidRDefault="00D4483D" w:rsidP="00660A29">
            <w:pPr>
              <w:jc w:val="center"/>
              <w:rPr>
                <w:i/>
                <w:color w:val="000000"/>
                <w:sz w:val="20"/>
              </w:rPr>
            </w:pPr>
            <w:r w:rsidRPr="00B36188">
              <w:rPr>
                <w:i/>
                <w:color w:val="000000"/>
                <w:sz w:val="20"/>
              </w:rPr>
              <w:t>0</w:t>
            </w:r>
          </w:p>
        </w:tc>
        <w:tc>
          <w:tcPr>
            <w:tcW w:w="333" w:type="pct"/>
            <w:tcBorders>
              <w:top w:val="nil"/>
              <w:left w:val="nil"/>
              <w:bottom w:val="single" w:sz="4" w:space="0" w:color="auto"/>
              <w:right w:val="single" w:sz="4" w:space="0" w:color="auto"/>
            </w:tcBorders>
            <w:vAlign w:val="center"/>
          </w:tcPr>
          <w:p w:rsidR="00D4483D" w:rsidRPr="00B36188" w:rsidRDefault="00D4483D" w:rsidP="00660A29">
            <w:pPr>
              <w:jc w:val="center"/>
              <w:rPr>
                <w:i/>
                <w:color w:val="000000"/>
                <w:sz w:val="20"/>
              </w:rPr>
            </w:pPr>
            <w:r w:rsidRPr="00B36188">
              <w:rPr>
                <w:i/>
                <w:color w:val="000000"/>
                <w:sz w:val="20"/>
              </w:rPr>
              <w:t>0</w:t>
            </w:r>
          </w:p>
        </w:tc>
        <w:tc>
          <w:tcPr>
            <w:tcW w:w="331" w:type="pct"/>
            <w:tcBorders>
              <w:top w:val="nil"/>
              <w:left w:val="nil"/>
              <w:bottom w:val="single" w:sz="4" w:space="0" w:color="auto"/>
              <w:right w:val="single" w:sz="4" w:space="0" w:color="auto"/>
            </w:tcBorders>
            <w:vAlign w:val="center"/>
          </w:tcPr>
          <w:p w:rsidR="00D4483D" w:rsidRPr="00B36188" w:rsidRDefault="00D4483D" w:rsidP="00660A29">
            <w:pPr>
              <w:jc w:val="center"/>
              <w:rPr>
                <w:i/>
                <w:color w:val="000000"/>
                <w:sz w:val="20"/>
              </w:rPr>
            </w:pPr>
            <w:r w:rsidRPr="00B36188">
              <w:rPr>
                <w:i/>
                <w:color w:val="000000"/>
                <w:sz w:val="20"/>
              </w:rPr>
              <w:t>0</w:t>
            </w:r>
          </w:p>
        </w:tc>
      </w:tr>
      <w:tr w:rsidR="00D4483D" w:rsidRPr="00660A29" w:rsidTr="00660A29">
        <w:trPr>
          <w:trHeight w:val="315"/>
          <w:jc w:val="center"/>
        </w:trPr>
        <w:tc>
          <w:tcPr>
            <w:tcW w:w="871" w:type="pct"/>
            <w:tcBorders>
              <w:top w:val="nil"/>
              <w:left w:val="single" w:sz="4" w:space="0" w:color="auto"/>
              <w:bottom w:val="single" w:sz="4" w:space="0" w:color="auto"/>
              <w:right w:val="single" w:sz="4" w:space="0" w:color="auto"/>
            </w:tcBorders>
            <w:noWrap/>
            <w:vAlign w:val="bottom"/>
          </w:tcPr>
          <w:p w:rsidR="00D4483D" w:rsidRPr="00660A29" w:rsidRDefault="00D4483D" w:rsidP="00B02B6B">
            <w:pPr>
              <w:rPr>
                <w:b/>
                <w:i/>
              </w:rPr>
            </w:pPr>
          </w:p>
        </w:tc>
        <w:tc>
          <w:tcPr>
            <w:tcW w:w="315" w:type="pct"/>
            <w:tcBorders>
              <w:top w:val="nil"/>
              <w:left w:val="nil"/>
              <w:bottom w:val="single" w:sz="4" w:space="0" w:color="auto"/>
              <w:right w:val="single" w:sz="4" w:space="0" w:color="auto"/>
            </w:tcBorders>
            <w:noWrap/>
            <w:vAlign w:val="center"/>
          </w:tcPr>
          <w:p w:rsidR="00D4483D" w:rsidRPr="00660A29" w:rsidRDefault="00D4483D" w:rsidP="00660A29">
            <w:pPr>
              <w:jc w:val="center"/>
              <w:rPr>
                <w:color w:val="000000"/>
              </w:rPr>
            </w:pPr>
          </w:p>
        </w:tc>
        <w:tc>
          <w:tcPr>
            <w:tcW w:w="315" w:type="pct"/>
            <w:tcBorders>
              <w:top w:val="nil"/>
              <w:left w:val="nil"/>
              <w:bottom w:val="single" w:sz="4" w:space="0" w:color="auto"/>
              <w:right w:val="single" w:sz="4" w:space="0" w:color="auto"/>
            </w:tcBorders>
            <w:noWrap/>
            <w:vAlign w:val="center"/>
          </w:tcPr>
          <w:p w:rsidR="00D4483D" w:rsidRPr="00660A29" w:rsidRDefault="00D4483D" w:rsidP="00660A29">
            <w:pPr>
              <w:jc w:val="center"/>
              <w:rPr>
                <w:color w:val="000000"/>
              </w:rPr>
            </w:pPr>
          </w:p>
        </w:tc>
        <w:tc>
          <w:tcPr>
            <w:tcW w:w="315" w:type="pct"/>
            <w:tcBorders>
              <w:top w:val="nil"/>
              <w:left w:val="nil"/>
              <w:bottom w:val="single" w:sz="4" w:space="0" w:color="auto"/>
              <w:right w:val="single" w:sz="4" w:space="0" w:color="auto"/>
            </w:tcBorders>
            <w:noWrap/>
            <w:vAlign w:val="center"/>
          </w:tcPr>
          <w:p w:rsidR="00D4483D" w:rsidRPr="00660A29" w:rsidRDefault="00D4483D" w:rsidP="00660A29">
            <w:pPr>
              <w:jc w:val="center"/>
              <w:rPr>
                <w:color w:val="000000"/>
              </w:rPr>
            </w:pPr>
          </w:p>
        </w:tc>
        <w:tc>
          <w:tcPr>
            <w:tcW w:w="315" w:type="pct"/>
            <w:tcBorders>
              <w:top w:val="nil"/>
              <w:left w:val="nil"/>
              <w:bottom w:val="single" w:sz="4" w:space="0" w:color="auto"/>
              <w:right w:val="single" w:sz="4" w:space="0" w:color="auto"/>
            </w:tcBorders>
            <w:noWrap/>
            <w:vAlign w:val="center"/>
          </w:tcPr>
          <w:p w:rsidR="00D4483D" w:rsidRPr="00660A29" w:rsidRDefault="00D4483D" w:rsidP="00660A29">
            <w:pPr>
              <w:jc w:val="center"/>
              <w:rPr>
                <w:color w:val="000000"/>
              </w:rPr>
            </w:pPr>
          </w:p>
        </w:tc>
        <w:tc>
          <w:tcPr>
            <w:tcW w:w="315" w:type="pct"/>
            <w:tcBorders>
              <w:top w:val="nil"/>
              <w:left w:val="nil"/>
              <w:bottom w:val="single" w:sz="4" w:space="0" w:color="auto"/>
              <w:right w:val="single" w:sz="4" w:space="0" w:color="auto"/>
            </w:tcBorders>
            <w:noWrap/>
            <w:vAlign w:val="center"/>
          </w:tcPr>
          <w:p w:rsidR="00D4483D" w:rsidRPr="00660A29" w:rsidRDefault="00D4483D" w:rsidP="00660A29">
            <w:pPr>
              <w:jc w:val="center"/>
              <w:rPr>
                <w:color w:val="000000"/>
              </w:rPr>
            </w:pPr>
          </w:p>
        </w:tc>
        <w:tc>
          <w:tcPr>
            <w:tcW w:w="315" w:type="pct"/>
            <w:tcBorders>
              <w:top w:val="single" w:sz="4" w:space="0" w:color="auto"/>
              <w:left w:val="nil"/>
              <w:bottom w:val="single" w:sz="4" w:space="0" w:color="auto"/>
              <w:right w:val="single" w:sz="4" w:space="0" w:color="auto"/>
            </w:tcBorders>
            <w:vAlign w:val="center"/>
          </w:tcPr>
          <w:p w:rsidR="00D4483D" w:rsidRPr="00660A29" w:rsidRDefault="00D4483D" w:rsidP="00660A29">
            <w:pPr>
              <w:jc w:val="center"/>
              <w:rPr>
                <w:color w:val="000000"/>
              </w:rPr>
            </w:pPr>
          </w:p>
        </w:tc>
        <w:tc>
          <w:tcPr>
            <w:tcW w:w="315" w:type="pct"/>
            <w:tcBorders>
              <w:top w:val="nil"/>
              <w:left w:val="single" w:sz="4" w:space="0" w:color="auto"/>
              <w:bottom w:val="single" w:sz="4" w:space="0" w:color="auto"/>
              <w:right w:val="single" w:sz="4" w:space="0" w:color="auto"/>
            </w:tcBorders>
            <w:vAlign w:val="center"/>
          </w:tcPr>
          <w:p w:rsidR="00D4483D" w:rsidRPr="00660A29" w:rsidRDefault="00D4483D" w:rsidP="00660A29">
            <w:pPr>
              <w:jc w:val="center"/>
              <w:rPr>
                <w:color w:val="000000"/>
              </w:rPr>
            </w:pPr>
          </w:p>
        </w:tc>
        <w:tc>
          <w:tcPr>
            <w:tcW w:w="315" w:type="pct"/>
            <w:tcBorders>
              <w:top w:val="nil"/>
              <w:left w:val="nil"/>
              <w:bottom w:val="single" w:sz="4" w:space="0" w:color="auto"/>
              <w:right w:val="single" w:sz="4" w:space="0" w:color="auto"/>
            </w:tcBorders>
            <w:vAlign w:val="center"/>
          </w:tcPr>
          <w:p w:rsidR="00D4483D" w:rsidRPr="00660A29" w:rsidRDefault="00D4483D" w:rsidP="00660A29">
            <w:pPr>
              <w:jc w:val="center"/>
              <w:rPr>
                <w:color w:val="000000"/>
              </w:rPr>
            </w:pPr>
          </w:p>
        </w:tc>
        <w:tc>
          <w:tcPr>
            <w:tcW w:w="333" w:type="pct"/>
            <w:tcBorders>
              <w:top w:val="nil"/>
              <w:left w:val="nil"/>
              <w:bottom w:val="single" w:sz="4" w:space="0" w:color="auto"/>
              <w:right w:val="single" w:sz="4" w:space="0" w:color="auto"/>
            </w:tcBorders>
            <w:vAlign w:val="center"/>
          </w:tcPr>
          <w:p w:rsidR="00D4483D" w:rsidRPr="00660A29" w:rsidRDefault="00D4483D" w:rsidP="00660A29">
            <w:pPr>
              <w:jc w:val="center"/>
              <w:rPr>
                <w:color w:val="000000"/>
              </w:rPr>
            </w:pPr>
          </w:p>
        </w:tc>
        <w:tc>
          <w:tcPr>
            <w:tcW w:w="297" w:type="pct"/>
            <w:tcBorders>
              <w:top w:val="nil"/>
              <w:left w:val="nil"/>
              <w:bottom w:val="single" w:sz="4" w:space="0" w:color="auto"/>
              <w:right w:val="single" w:sz="4" w:space="0" w:color="auto"/>
            </w:tcBorders>
            <w:noWrap/>
            <w:vAlign w:val="center"/>
          </w:tcPr>
          <w:p w:rsidR="00D4483D" w:rsidRPr="00660A29" w:rsidRDefault="00D4483D" w:rsidP="00660A29">
            <w:pPr>
              <w:jc w:val="center"/>
              <w:rPr>
                <w:color w:val="000000"/>
              </w:rPr>
            </w:pPr>
          </w:p>
        </w:tc>
        <w:tc>
          <w:tcPr>
            <w:tcW w:w="315" w:type="pct"/>
            <w:tcBorders>
              <w:top w:val="nil"/>
              <w:left w:val="nil"/>
              <w:bottom w:val="single" w:sz="4" w:space="0" w:color="auto"/>
              <w:right w:val="single" w:sz="4" w:space="0" w:color="auto"/>
            </w:tcBorders>
            <w:noWrap/>
            <w:vAlign w:val="center"/>
          </w:tcPr>
          <w:p w:rsidR="00D4483D" w:rsidRPr="00660A29" w:rsidRDefault="00D4483D" w:rsidP="00660A29">
            <w:pPr>
              <w:jc w:val="center"/>
              <w:rPr>
                <w:color w:val="000000"/>
              </w:rPr>
            </w:pPr>
          </w:p>
        </w:tc>
        <w:tc>
          <w:tcPr>
            <w:tcW w:w="333" w:type="pct"/>
            <w:tcBorders>
              <w:top w:val="nil"/>
              <w:left w:val="nil"/>
              <w:bottom w:val="single" w:sz="4" w:space="0" w:color="auto"/>
              <w:right w:val="single" w:sz="4" w:space="0" w:color="auto"/>
            </w:tcBorders>
            <w:vAlign w:val="center"/>
          </w:tcPr>
          <w:p w:rsidR="00D4483D" w:rsidRPr="00660A29" w:rsidRDefault="00D4483D" w:rsidP="00660A29">
            <w:pPr>
              <w:jc w:val="center"/>
              <w:rPr>
                <w:color w:val="000000"/>
              </w:rPr>
            </w:pPr>
          </w:p>
        </w:tc>
        <w:tc>
          <w:tcPr>
            <w:tcW w:w="331" w:type="pct"/>
            <w:tcBorders>
              <w:top w:val="nil"/>
              <w:left w:val="nil"/>
              <w:bottom w:val="single" w:sz="4" w:space="0" w:color="auto"/>
              <w:right w:val="single" w:sz="4" w:space="0" w:color="auto"/>
            </w:tcBorders>
            <w:vAlign w:val="center"/>
          </w:tcPr>
          <w:p w:rsidR="00D4483D" w:rsidRPr="00660A29" w:rsidRDefault="00D4483D" w:rsidP="00660A29">
            <w:pPr>
              <w:jc w:val="center"/>
              <w:rPr>
                <w:color w:val="000000"/>
              </w:rPr>
            </w:pPr>
          </w:p>
        </w:tc>
      </w:tr>
      <w:tr w:rsidR="00D4483D" w:rsidRPr="00660A29" w:rsidTr="00674A72">
        <w:trPr>
          <w:trHeight w:val="315"/>
          <w:jc w:val="center"/>
        </w:trPr>
        <w:tc>
          <w:tcPr>
            <w:tcW w:w="871" w:type="pct"/>
            <w:tcBorders>
              <w:top w:val="single" w:sz="4" w:space="0" w:color="auto"/>
              <w:left w:val="single" w:sz="4" w:space="0" w:color="auto"/>
              <w:bottom w:val="single" w:sz="4" w:space="0" w:color="auto"/>
              <w:right w:val="single" w:sz="4" w:space="0" w:color="auto"/>
            </w:tcBorders>
            <w:noWrap/>
            <w:vAlign w:val="center"/>
          </w:tcPr>
          <w:p w:rsidR="00D4483D" w:rsidRPr="00660A29" w:rsidRDefault="00D4483D" w:rsidP="00B02B6B">
            <w:pPr>
              <w:rPr>
                <w:b/>
              </w:rPr>
            </w:pPr>
            <w:r w:rsidRPr="00660A29">
              <w:rPr>
                <w:b/>
              </w:rPr>
              <w:t>Ecarts cumulés</w:t>
            </w:r>
          </w:p>
        </w:tc>
        <w:tc>
          <w:tcPr>
            <w:tcW w:w="315" w:type="pct"/>
            <w:tcBorders>
              <w:top w:val="single" w:sz="4" w:space="0" w:color="auto"/>
              <w:left w:val="nil"/>
              <w:bottom w:val="single" w:sz="4" w:space="0" w:color="auto"/>
              <w:right w:val="single" w:sz="4" w:space="0" w:color="auto"/>
            </w:tcBorders>
            <w:noWrap/>
            <w:vAlign w:val="center"/>
          </w:tcPr>
          <w:p w:rsidR="00D4483D" w:rsidRPr="00674A72" w:rsidRDefault="00D4483D" w:rsidP="00674A72">
            <w:pPr>
              <w:jc w:val="center"/>
              <w:rPr>
                <w:b/>
                <w:bCs/>
                <w:color w:val="000000"/>
              </w:rPr>
            </w:pPr>
            <w:r w:rsidRPr="00674A72">
              <w:rPr>
                <w:b/>
                <w:bCs/>
                <w:color w:val="000000"/>
              </w:rPr>
              <w:t>-56 310</w:t>
            </w:r>
          </w:p>
        </w:tc>
        <w:tc>
          <w:tcPr>
            <w:tcW w:w="315" w:type="pct"/>
            <w:tcBorders>
              <w:top w:val="single" w:sz="4" w:space="0" w:color="auto"/>
              <w:left w:val="nil"/>
              <w:bottom w:val="single" w:sz="4" w:space="0" w:color="auto"/>
              <w:right w:val="single" w:sz="4" w:space="0" w:color="auto"/>
            </w:tcBorders>
            <w:noWrap/>
            <w:vAlign w:val="center"/>
          </w:tcPr>
          <w:p w:rsidR="00D4483D" w:rsidRPr="00674A72" w:rsidRDefault="00D4483D" w:rsidP="00674A72">
            <w:pPr>
              <w:jc w:val="center"/>
              <w:rPr>
                <w:b/>
                <w:bCs/>
                <w:color w:val="000000"/>
              </w:rPr>
            </w:pPr>
            <w:r w:rsidRPr="00674A72">
              <w:rPr>
                <w:b/>
                <w:bCs/>
                <w:color w:val="000000"/>
              </w:rPr>
              <w:t>-41 429</w:t>
            </w:r>
          </w:p>
        </w:tc>
        <w:tc>
          <w:tcPr>
            <w:tcW w:w="315" w:type="pct"/>
            <w:tcBorders>
              <w:top w:val="single" w:sz="4" w:space="0" w:color="auto"/>
              <w:left w:val="nil"/>
              <w:bottom w:val="single" w:sz="4" w:space="0" w:color="auto"/>
              <w:right w:val="single" w:sz="4" w:space="0" w:color="auto"/>
            </w:tcBorders>
            <w:noWrap/>
            <w:vAlign w:val="center"/>
          </w:tcPr>
          <w:p w:rsidR="00D4483D" w:rsidRPr="00674A72" w:rsidRDefault="00D4483D" w:rsidP="00674A72">
            <w:pPr>
              <w:jc w:val="center"/>
              <w:rPr>
                <w:b/>
                <w:bCs/>
                <w:color w:val="000000"/>
              </w:rPr>
            </w:pPr>
            <w:r w:rsidRPr="00674A72">
              <w:rPr>
                <w:b/>
                <w:bCs/>
                <w:color w:val="000000"/>
              </w:rPr>
              <w:t>-20 685</w:t>
            </w:r>
          </w:p>
        </w:tc>
        <w:tc>
          <w:tcPr>
            <w:tcW w:w="315" w:type="pct"/>
            <w:tcBorders>
              <w:top w:val="single" w:sz="4" w:space="0" w:color="auto"/>
              <w:left w:val="nil"/>
              <w:bottom w:val="single" w:sz="4" w:space="0" w:color="auto"/>
              <w:right w:val="single" w:sz="4" w:space="0" w:color="auto"/>
            </w:tcBorders>
            <w:noWrap/>
            <w:vAlign w:val="center"/>
          </w:tcPr>
          <w:p w:rsidR="00D4483D" w:rsidRPr="00674A72" w:rsidRDefault="00D4483D" w:rsidP="00674A72">
            <w:pPr>
              <w:jc w:val="center"/>
              <w:rPr>
                <w:b/>
                <w:bCs/>
                <w:color w:val="000000"/>
              </w:rPr>
            </w:pPr>
            <w:r w:rsidRPr="00674A72">
              <w:rPr>
                <w:b/>
                <w:bCs/>
                <w:color w:val="000000"/>
              </w:rPr>
              <w:t>-1 479</w:t>
            </w:r>
          </w:p>
        </w:tc>
        <w:tc>
          <w:tcPr>
            <w:tcW w:w="315" w:type="pct"/>
            <w:tcBorders>
              <w:top w:val="single" w:sz="4" w:space="0" w:color="auto"/>
              <w:left w:val="nil"/>
              <w:bottom w:val="single" w:sz="4" w:space="0" w:color="auto"/>
              <w:right w:val="single" w:sz="4" w:space="0" w:color="auto"/>
            </w:tcBorders>
            <w:noWrap/>
            <w:vAlign w:val="center"/>
          </w:tcPr>
          <w:p w:rsidR="00D4483D" w:rsidRPr="00674A72" w:rsidRDefault="00D4483D" w:rsidP="00674A72">
            <w:pPr>
              <w:jc w:val="center"/>
              <w:rPr>
                <w:b/>
                <w:bCs/>
                <w:color w:val="000000"/>
              </w:rPr>
            </w:pPr>
            <w:r w:rsidRPr="00674A72">
              <w:rPr>
                <w:b/>
                <w:bCs/>
                <w:color w:val="000000"/>
              </w:rPr>
              <w:t>21 272</w:t>
            </w:r>
          </w:p>
        </w:tc>
        <w:tc>
          <w:tcPr>
            <w:tcW w:w="315" w:type="pct"/>
            <w:tcBorders>
              <w:top w:val="single" w:sz="4" w:space="0" w:color="auto"/>
              <w:left w:val="nil"/>
              <w:bottom w:val="single" w:sz="4" w:space="0" w:color="auto"/>
              <w:right w:val="single" w:sz="4" w:space="0" w:color="auto"/>
            </w:tcBorders>
            <w:vAlign w:val="center"/>
          </w:tcPr>
          <w:p w:rsidR="00D4483D" w:rsidRPr="00674A72" w:rsidRDefault="00D4483D" w:rsidP="00674A72">
            <w:pPr>
              <w:jc w:val="center"/>
              <w:rPr>
                <w:b/>
                <w:bCs/>
                <w:color w:val="000000"/>
              </w:rPr>
            </w:pPr>
            <w:r w:rsidRPr="00674A72">
              <w:rPr>
                <w:b/>
                <w:bCs/>
                <w:color w:val="000000"/>
              </w:rPr>
              <w:t>33 071</w:t>
            </w:r>
          </w:p>
        </w:tc>
        <w:tc>
          <w:tcPr>
            <w:tcW w:w="315" w:type="pct"/>
            <w:tcBorders>
              <w:top w:val="single" w:sz="4" w:space="0" w:color="auto"/>
              <w:left w:val="single" w:sz="4" w:space="0" w:color="auto"/>
              <w:bottom w:val="single" w:sz="4" w:space="0" w:color="auto"/>
              <w:right w:val="single" w:sz="4" w:space="0" w:color="auto"/>
            </w:tcBorders>
            <w:vAlign w:val="center"/>
          </w:tcPr>
          <w:p w:rsidR="00D4483D" w:rsidRPr="00674A72" w:rsidRDefault="00D4483D" w:rsidP="00674A72">
            <w:pPr>
              <w:jc w:val="center"/>
              <w:rPr>
                <w:b/>
                <w:bCs/>
                <w:color w:val="000000"/>
              </w:rPr>
            </w:pPr>
            <w:r w:rsidRPr="00674A72">
              <w:rPr>
                <w:b/>
                <w:bCs/>
                <w:color w:val="000000"/>
              </w:rPr>
              <w:t>54 390</w:t>
            </w:r>
          </w:p>
        </w:tc>
        <w:tc>
          <w:tcPr>
            <w:tcW w:w="315" w:type="pct"/>
            <w:tcBorders>
              <w:top w:val="single" w:sz="4" w:space="0" w:color="auto"/>
              <w:left w:val="nil"/>
              <w:bottom w:val="single" w:sz="4" w:space="0" w:color="auto"/>
              <w:right w:val="single" w:sz="4" w:space="0" w:color="auto"/>
            </w:tcBorders>
            <w:vAlign w:val="center"/>
          </w:tcPr>
          <w:p w:rsidR="00D4483D" w:rsidRPr="00674A72" w:rsidRDefault="00D4483D" w:rsidP="00674A72">
            <w:pPr>
              <w:jc w:val="center"/>
              <w:rPr>
                <w:b/>
                <w:bCs/>
                <w:color w:val="000000"/>
              </w:rPr>
            </w:pPr>
            <w:r w:rsidRPr="00674A72">
              <w:rPr>
                <w:b/>
                <w:bCs/>
                <w:color w:val="000000"/>
              </w:rPr>
              <w:t>77 141</w:t>
            </w:r>
          </w:p>
        </w:tc>
        <w:tc>
          <w:tcPr>
            <w:tcW w:w="333" w:type="pct"/>
            <w:tcBorders>
              <w:top w:val="single" w:sz="4" w:space="0" w:color="auto"/>
              <w:left w:val="nil"/>
              <w:bottom w:val="single" w:sz="4" w:space="0" w:color="auto"/>
              <w:right w:val="single" w:sz="4" w:space="0" w:color="auto"/>
            </w:tcBorders>
            <w:vAlign w:val="center"/>
          </w:tcPr>
          <w:p w:rsidR="00D4483D" w:rsidRPr="00674A72" w:rsidRDefault="00D4483D" w:rsidP="00674A72">
            <w:pPr>
              <w:jc w:val="center"/>
              <w:rPr>
                <w:b/>
                <w:bCs/>
                <w:color w:val="000000"/>
              </w:rPr>
            </w:pPr>
            <w:r w:rsidRPr="00674A72">
              <w:rPr>
                <w:b/>
                <w:bCs/>
                <w:color w:val="000000"/>
              </w:rPr>
              <w:t>98 784</w:t>
            </w:r>
          </w:p>
        </w:tc>
        <w:tc>
          <w:tcPr>
            <w:tcW w:w="297" w:type="pct"/>
            <w:tcBorders>
              <w:top w:val="single" w:sz="4" w:space="0" w:color="auto"/>
              <w:left w:val="nil"/>
              <w:bottom w:val="single" w:sz="4" w:space="0" w:color="auto"/>
              <w:right w:val="single" w:sz="4" w:space="0" w:color="auto"/>
            </w:tcBorders>
            <w:noWrap/>
            <w:vAlign w:val="center"/>
          </w:tcPr>
          <w:p w:rsidR="00D4483D" w:rsidRPr="00674A72" w:rsidRDefault="00D4483D" w:rsidP="00674A72">
            <w:pPr>
              <w:jc w:val="center"/>
              <w:rPr>
                <w:b/>
                <w:bCs/>
                <w:color w:val="000000"/>
              </w:rPr>
            </w:pPr>
            <w:r w:rsidRPr="00674A72">
              <w:rPr>
                <w:b/>
                <w:bCs/>
                <w:color w:val="000000"/>
              </w:rPr>
              <w:t>91 669</w:t>
            </w:r>
          </w:p>
        </w:tc>
        <w:tc>
          <w:tcPr>
            <w:tcW w:w="315" w:type="pct"/>
            <w:tcBorders>
              <w:top w:val="single" w:sz="4" w:space="0" w:color="auto"/>
              <w:left w:val="nil"/>
              <w:bottom w:val="single" w:sz="4" w:space="0" w:color="auto"/>
              <w:right w:val="single" w:sz="4" w:space="0" w:color="auto"/>
            </w:tcBorders>
            <w:noWrap/>
            <w:vAlign w:val="center"/>
          </w:tcPr>
          <w:p w:rsidR="00D4483D" w:rsidRPr="00674A72" w:rsidRDefault="00D4483D" w:rsidP="00674A72">
            <w:pPr>
              <w:jc w:val="center"/>
              <w:rPr>
                <w:b/>
                <w:bCs/>
                <w:color w:val="000000"/>
              </w:rPr>
            </w:pPr>
            <w:r w:rsidRPr="00674A72">
              <w:rPr>
                <w:b/>
                <w:bCs/>
                <w:color w:val="000000"/>
              </w:rPr>
              <w:t>78 969</w:t>
            </w:r>
          </w:p>
        </w:tc>
        <w:tc>
          <w:tcPr>
            <w:tcW w:w="333" w:type="pct"/>
            <w:tcBorders>
              <w:top w:val="single" w:sz="4" w:space="0" w:color="auto"/>
              <w:left w:val="nil"/>
              <w:bottom w:val="single" w:sz="4" w:space="0" w:color="auto"/>
              <w:right w:val="single" w:sz="4" w:space="0" w:color="auto"/>
            </w:tcBorders>
            <w:vAlign w:val="center"/>
          </w:tcPr>
          <w:p w:rsidR="00D4483D" w:rsidRPr="00674A72" w:rsidRDefault="00D4483D" w:rsidP="00674A72">
            <w:pPr>
              <w:jc w:val="center"/>
              <w:rPr>
                <w:b/>
                <w:bCs/>
                <w:color w:val="000000"/>
              </w:rPr>
            </w:pPr>
            <w:r w:rsidRPr="00674A72">
              <w:rPr>
                <w:b/>
                <w:bCs/>
                <w:color w:val="000000"/>
              </w:rPr>
              <w:t>101 720</w:t>
            </w:r>
          </w:p>
        </w:tc>
        <w:tc>
          <w:tcPr>
            <w:tcW w:w="331" w:type="pct"/>
            <w:tcBorders>
              <w:top w:val="single" w:sz="4" w:space="0" w:color="auto"/>
              <w:left w:val="nil"/>
              <w:bottom w:val="single" w:sz="4" w:space="0" w:color="auto"/>
              <w:right w:val="single" w:sz="4" w:space="0" w:color="auto"/>
            </w:tcBorders>
            <w:vAlign w:val="center"/>
          </w:tcPr>
          <w:p w:rsidR="00D4483D" w:rsidRPr="00674A72" w:rsidRDefault="00D4483D" w:rsidP="00674A72">
            <w:pPr>
              <w:jc w:val="center"/>
              <w:rPr>
                <w:b/>
                <w:bCs/>
                <w:color w:val="000000"/>
              </w:rPr>
            </w:pPr>
            <w:r w:rsidRPr="00674A72">
              <w:rPr>
                <w:b/>
                <w:bCs/>
                <w:color w:val="000000"/>
              </w:rPr>
              <w:t>124 471</w:t>
            </w:r>
          </w:p>
        </w:tc>
      </w:tr>
    </w:tbl>
    <w:p w:rsidR="00D4483D" w:rsidRDefault="00D4483D" w:rsidP="00660A29">
      <w:pPr>
        <w:jc w:val="both"/>
        <w:rPr>
          <w:b/>
        </w:rPr>
      </w:pPr>
    </w:p>
    <w:p w:rsidR="00D4483D" w:rsidRDefault="00D4483D" w:rsidP="00660A29">
      <w:pPr>
        <w:jc w:val="both"/>
      </w:pPr>
      <w:r w:rsidRPr="00660A29">
        <w:t>On constate que</w:t>
      </w:r>
      <w:r>
        <w:rPr>
          <w:b/>
        </w:rPr>
        <w:t xml:space="preserve"> les dépenses réelles sont nettement inférieures aux dépenses prévisionnelles </w:t>
      </w:r>
      <w:r w:rsidRPr="00660A29">
        <w:t>du délégataire</w:t>
      </w:r>
      <w:r>
        <w:rPr>
          <w:b/>
        </w:rPr>
        <w:t xml:space="preserve">, </w:t>
      </w:r>
      <w:r w:rsidRPr="00660A29">
        <w:t>puisque</w:t>
      </w:r>
      <w:r>
        <w:rPr>
          <w:b/>
        </w:rPr>
        <w:t xml:space="preserve"> l’écart cumulé est de 124 k€</w:t>
      </w:r>
      <w:r w:rsidRPr="00660A29">
        <w:t>, soit l’équivalent</w:t>
      </w:r>
      <w:r>
        <w:t xml:space="preserve"> de 5,5 années de provisions de renouvellement, ce qui est très excessif</w:t>
      </w:r>
      <w:r>
        <w:rPr>
          <w:b/>
        </w:rPr>
        <w:t>.</w:t>
      </w:r>
    </w:p>
    <w:p w:rsidR="00D4483D" w:rsidRDefault="00D4483D" w:rsidP="00660A29">
      <w:pPr>
        <w:jc w:val="both"/>
      </w:pPr>
      <w:r>
        <w:t>Aucun accessoire de réseaux (vannes, purges, etc.) n’a été renouvelé sur la durée du contrat, ce qui pourrait engendrer un vieillissement non maîtrisé des équipements du service. Quelques opérations sont toutefois susceptibles d’être intervenus dans le cadre de l’entretien.</w:t>
      </w:r>
    </w:p>
    <w:p w:rsidR="00D4483D" w:rsidRDefault="00D4483D" w:rsidP="00660A29">
      <w:pPr>
        <w:jc w:val="both"/>
      </w:pPr>
    </w:p>
    <w:p w:rsidR="00D4483D" w:rsidRPr="00FD5EE5" w:rsidRDefault="00D4483D" w:rsidP="00340FB5">
      <w:pPr>
        <w:rPr>
          <w:highlight w:val="yellow"/>
        </w:rPr>
      </w:pPr>
      <w:bookmarkStart w:id="30" w:name="_Toc265226082"/>
      <w:r w:rsidRPr="005E0D36">
        <w:t xml:space="preserve">Ainsi, après un effort de renouvellement des équipements conséquent en début de contrat, le Délégataire </w:t>
      </w:r>
      <w:r>
        <w:t>ne réalise plus qu’épisodiquement des opérations de renouvellement, sur les branchements. .</w:t>
      </w:r>
    </w:p>
    <w:p w:rsidR="00D4483D" w:rsidRDefault="00D4483D" w:rsidP="007B25DA">
      <w:pPr>
        <w:rPr>
          <w:b/>
          <w:color w:val="000000"/>
          <w:u w:val="single"/>
        </w:rPr>
        <w:sectPr w:rsidR="00D4483D" w:rsidSect="00660A29">
          <w:footerReference w:type="default" r:id="rId25"/>
          <w:pgSz w:w="16838" w:h="11906" w:orient="landscape"/>
          <w:pgMar w:top="1417" w:right="1417" w:bottom="1417" w:left="1417" w:header="708" w:footer="708" w:gutter="0"/>
          <w:cols w:space="708"/>
          <w:docGrid w:linePitch="360"/>
        </w:sectPr>
      </w:pPr>
    </w:p>
    <w:p w:rsidR="00D4483D" w:rsidRPr="00504776" w:rsidRDefault="00D4483D" w:rsidP="007B25DA">
      <w:pPr>
        <w:rPr>
          <w:b/>
          <w:color w:val="000000"/>
          <w:u w:val="single"/>
        </w:rPr>
      </w:pPr>
      <w:r w:rsidRPr="00504776">
        <w:rPr>
          <w:b/>
          <w:color w:val="000000"/>
          <w:u w:val="single"/>
        </w:rPr>
        <w:t>Perspectives du renouvellement sur la durée résiduelle d</w:t>
      </w:r>
      <w:r>
        <w:rPr>
          <w:b/>
          <w:color w:val="000000"/>
          <w:u w:val="single"/>
        </w:rPr>
        <w:t>es</w:t>
      </w:r>
      <w:r w:rsidRPr="00504776">
        <w:rPr>
          <w:b/>
          <w:color w:val="000000"/>
          <w:u w:val="single"/>
        </w:rPr>
        <w:t xml:space="preserve"> contrat</w:t>
      </w:r>
      <w:r>
        <w:rPr>
          <w:b/>
          <w:color w:val="000000"/>
          <w:u w:val="single"/>
        </w:rPr>
        <w:t>s</w:t>
      </w:r>
    </w:p>
    <w:p w:rsidR="00D4483D" w:rsidRDefault="00D4483D" w:rsidP="00340FB5">
      <w:pPr>
        <w:rPr>
          <w:highlight w:val="yellow"/>
        </w:rPr>
      </w:pPr>
    </w:p>
    <w:p w:rsidR="00D4483D" w:rsidRDefault="00D4483D" w:rsidP="00340FB5">
      <w:pPr>
        <w:rPr>
          <w:highlight w:val="yellow"/>
        </w:rPr>
      </w:pPr>
    </w:p>
    <w:tbl>
      <w:tblPr>
        <w:tblW w:w="8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60"/>
        <w:gridCol w:w="1559"/>
        <w:gridCol w:w="1559"/>
        <w:gridCol w:w="2831"/>
      </w:tblGrid>
      <w:tr w:rsidR="00D4483D" w:rsidTr="00EB738F">
        <w:trPr>
          <w:trHeight w:val="814"/>
        </w:trPr>
        <w:tc>
          <w:tcPr>
            <w:tcW w:w="2660" w:type="dxa"/>
            <w:tcBorders>
              <w:top w:val="nil"/>
              <w:left w:val="nil"/>
            </w:tcBorders>
            <w:vAlign w:val="center"/>
          </w:tcPr>
          <w:p w:rsidR="00D4483D" w:rsidRDefault="00D4483D" w:rsidP="00EB738F">
            <w:pPr>
              <w:jc w:val="center"/>
            </w:pPr>
          </w:p>
        </w:tc>
        <w:tc>
          <w:tcPr>
            <w:tcW w:w="1559" w:type="dxa"/>
            <w:shd w:val="clear" w:color="auto" w:fill="D9D9D9"/>
            <w:vAlign w:val="center"/>
          </w:tcPr>
          <w:p w:rsidR="00D4483D" w:rsidRPr="00EB738F" w:rsidRDefault="00D4483D" w:rsidP="00EB738F">
            <w:pPr>
              <w:jc w:val="center"/>
              <w:rPr>
                <w:b/>
              </w:rPr>
            </w:pPr>
            <w:r w:rsidRPr="00EB738F">
              <w:rPr>
                <w:b/>
              </w:rPr>
              <w:t>Solde à fin 2012</w:t>
            </w:r>
          </w:p>
        </w:tc>
        <w:tc>
          <w:tcPr>
            <w:tcW w:w="1559" w:type="dxa"/>
            <w:shd w:val="clear" w:color="auto" w:fill="D9D9D9"/>
            <w:vAlign w:val="center"/>
          </w:tcPr>
          <w:p w:rsidR="00D4483D" w:rsidRPr="00EB738F" w:rsidRDefault="00D4483D" w:rsidP="00EB738F">
            <w:pPr>
              <w:jc w:val="center"/>
              <w:rPr>
                <w:b/>
              </w:rPr>
            </w:pPr>
            <w:r w:rsidRPr="00EB738F">
              <w:rPr>
                <w:b/>
              </w:rPr>
              <w:t>Provisions sur 2013-2014</w:t>
            </w:r>
          </w:p>
        </w:tc>
        <w:tc>
          <w:tcPr>
            <w:tcW w:w="2831" w:type="dxa"/>
            <w:shd w:val="clear" w:color="auto" w:fill="D9D9D9"/>
            <w:vAlign w:val="center"/>
          </w:tcPr>
          <w:p w:rsidR="00D4483D" w:rsidRPr="00EB738F" w:rsidRDefault="00D4483D" w:rsidP="00EB738F">
            <w:pPr>
              <w:jc w:val="center"/>
              <w:rPr>
                <w:b/>
              </w:rPr>
            </w:pPr>
            <w:r w:rsidRPr="00EB738F">
              <w:rPr>
                <w:b/>
              </w:rPr>
              <w:t xml:space="preserve">TOTAL </w:t>
            </w:r>
          </w:p>
        </w:tc>
      </w:tr>
      <w:tr w:rsidR="00D4483D" w:rsidTr="00EB738F">
        <w:trPr>
          <w:trHeight w:val="548"/>
        </w:trPr>
        <w:tc>
          <w:tcPr>
            <w:tcW w:w="2660" w:type="dxa"/>
            <w:vAlign w:val="center"/>
          </w:tcPr>
          <w:p w:rsidR="00D4483D" w:rsidRPr="00EB738F" w:rsidRDefault="00D4483D" w:rsidP="00EB738F">
            <w:pPr>
              <w:jc w:val="center"/>
              <w:rPr>
                <w:b/>
              </w:rPr>
            </w:pPr>
            <w:r w:rsidRPr="00EB738F">
              <w:rPr>
                <w:b/>
              </w:rPr>
              <w:t>Etat des montants disponibles pour le renouvellement</w:t>
            </w:r>
          </w:p>
        </w:tc>
        <w:tc>
          <w:tcPr>
            <w:tcW w:w="1559" w:type="dxa"/>
            <w:vAlign w:val="center"/>
          </w:tcPr>
          <w:p w:rsidR="00D4483D" w:rsidRPr="00113BF8" w:rsidRDefault="00D4483D" w:rsidP="00EB738F">
            <w:pPr>
              <w:jc w:val="center"/>
            </w:pPr>
            <w:r w:rsidRPr="00EB738F">
              <w:rPr>
                <w:bCs/>
                <w:color w:val="000000"/>
                <w:szCs w:val="20"/>
              </w:rPr>
              <w:t>124 471 €</w:t>
            </w:r>
          </w:p>
        </w:tc>
        <w:tc>
          <w:tcPr>
            <w:tcW w:w="1559" w:type="dxa"/>
            <w:vAlign w:val="center"/>
          </w:tcPr>
          <w:p w:rsidR="00D4483D" w:rsidRPr="00113BF8" w:rsidRDefault="00D4483D" w:rsidP="00EB738F">
            <w:pPr>
              <w:jc w:val="center"/>
            </w:pPr>
            <w:r>
              <w:t>45 502</w:t>
            </w:r>
            <w:r w:rsidRPr="00113BF8">
              <w:t xml:space="preserve"> €</w:t>
            </w:r>
          </w:p>
        </w:tc>
        <w:tc>
          <w:tcPr>
            <w:tcW w:w="2831" w:type="dxa"/>
            <w:vAlign w:val="center"/>
          </w:tcPr>
          <w:p w:rsidR="00D4483D" w:rsidRPr="00EB738F" w:rsidRDefault="00D4483D" w:rsidP="00EB738F">
            <w:pPr>
              <w:jc w:val="center"/>
              <w:rPr>
                <w:b/>
              </w:rPr>
            </w:pPr>
            <w:r w:rsidRPr="00EB738F">
              <w:rPr>
                <w:b/>
              </w:rPr>
              <w:t>169 973 €</w:t>
            </w:r>
          </w:p>
        </w:tc>
      </w:tr>
    </w:tbl>
    <w:p w:rsidR="00D4483D" w:rsidRDefault="00D4483D" w:rsidP="00113BF8">
      <w:pPr>
        <w:jc w:val="both"/>
      </w:pPr>
    </w:p>
    <w:p w:rsidR="00D4483D" w:rsidRPr="006E2A81" w:rsidRDefault="00D4483D" w:rsidP="00113BF8">
      <w:pPr>
        <w:jc w:val="both"/>
      </w:pPr>
      <w:r>
        <w:t xml:space="preserve">Pour équilibrer les dépenses de renouvellement du Délégataire par rapport aux prévisions initiales ayant servi à établir le prix du service rendu aux usagers, </w:t>
      </w:r>
      <w:r w:rsidRPr="006E2A81">
        <w:rPr>
          <w:b/>
        </w:rPr>
        <w:t xml:space="preserve">le montant des dépenses nécessaires à cet équilibre sur la période résiduelle des contrats est évalué globalement à </w:t>
      </w:r>
      <w:r>
        <w:rPr>
          <w:b/>
        </w:rPr>
        <w:t>170</w:t>
      </w:r>
      <w:r w:rsidRPr="006E2A81">
        <w:rPr>
          <w:b/>
        </w:rPr>
        <w:t xml:space="preserve"> k€</w:t>
      </w:r>
      <w:r>
        <w:t>.</w:t>
      </w:r>
    </w:p>
    <w:p w:rsidR="00D4483D" w:rsidRDefault="00D4483D" w:rsidP="00340FB5">
      <w:pPr>
        <w:rPr>
          <w:highlight w:val="yellow"/>
        </w:rPr>
      </w:pPr>
    </w:p>
    <w:p w:rsidR="00D4483D" w:rsidRDefault="00D4483D" w:rsidP="00113BF8">
      <w:pPr>
        <w:jc w:val="both"/>
      </w:pPr>
      <w:r>
        <w:t>Le Délégataire dispose ainsi de ressources financières complémentaires pour la réalisation de travaux de renouvellement de branchements, notamment pour la suppression des branchements en plomb, et si nécessaire, de remplacement d’équipements sur les ouvrages de production et les réservoirs, puisque l’économie du contrat le permet manifestement.</w:t>
      </w:r>
    </w:p>
    <w:p w:rsidR="00D4483D" w:rsidRDefault="00D4483D" w:rsidP="00340FB5"/>
    <w:p w:rsidR="00D4483D" w:rsidRPr="00504776" w:rsidRDefault="00D4483D" w:rsidP="00340FB5"/>
    <w:p w:rsidR="00D4483D" w:rsidRPr="00504776" w:rsidRDefault="00D4483D" w:rsidP="00380FF6">
      <w:pPr>
        <w:pStyle w:val="Heading2"/>
        <w:numPr>
          <w:ilvl w:val="1"/>
          <w:numId w:val="6"/>
        </w:numPr>
        <w:tabs>
          <w:tab w:val="clear" w:pos="851"/>
          <w:tab w:val="num" w:pos="993"/>
        </w:tabs>
      </w:pPr>
      <w:bookmarkStart w:id="31" w:name="_Toc367105229"/>
      <w:r w:rsidRPr="00504776">
        <w:t xml:space="preserve">Investissements spécifiques </w:t>
      </w:r>
      <w:bookmarkEnd w:id="30"/>
      <w:r>
        <w:t>du contrat</w:t>
      </w:r>
      <w:bookmarkEnd w:id="31"/>
    </w:p>
    <w:p w:rsidR="00D4483D" w:rsidRDefault="00D4483D" w:rsidP="006B454F">
      <w:pPr>
        <w:autoSpaceDE w:val="0"/>
        <w:autoSpaceDN w:val="0"/>
        <w:ind w:right="3"/>
        <w:jc w:val="both"/>
      </w:pPr>
    </w:p>
    <w:p w:rsidR="00D4483D" w:rsidRPr="008F59A2" w:rsidRDefault="00D4483D" w:rsidP="00097E85">
      <w:pPr>
        <w:jc w:val="both"/>
      </w:pPr>
      <w:r w:rsidRPr="008F59A2">
        <w:t>Les investissements amortis sur le contrat ne sont pas significatifs (0,</w:t>
      </w:r>
      <w:r>
        <w:t>1</w:t>
      </w:r>
      <w:r w:rsidRPr="008F59A2">
        <w:t xml:space="preserve"> % des charges totales).</w:t>
      </w:r>
    </w:p>
    <w:p w:rsidR="00D4483D" w:rsidRDefault="00D4483D">
      <w:pPr>
        <w:spacing w:after="200" w:line="276" w:lineRule="auto"/>
        <w:rPr>
          <w:rFonts w:cs="Arial"/>
          <w:b/>
          <w:bCs/>
          <w:iCs/>
          <w:sz w:val="26"/>
          <w:szCs w:val="26"/>
          <w:u w:val="single"/>
        </w:rPr>
      </w:pPr>
      <w:bookmarkStart w:id="32" w:name="_Toc223949006"/>
      <w:bookmarkStart w:id="33" w:name="_Toc270339018"/>
    </w:p>
    <w:p w:rsidR="00D4483D" w:rsidRPr="006B454F" w:rsidRDefault="00D4483D" w:rsidP="00380FF6">
      <w:pPr>
        <w:pStyle w:val="Heading2"/>
        <w:numPr>
          <w:ilvl w:val="1"/>
          <w:numId w:val="6"/>
        </w:numPr>
        <w:tabs>
          <w:tab w:val="clear" w:pos="851"/>
          <w:tab w:val="num" w:pos="993"/>
        </w:tabs>
      </w:pPr>
      <w:bookmarkStart w:id="34" w:name="_Toc367105230"/>
      <w:r w:rsidRPr="006B454F">
        <w:t>Biens de reprise</w:t>
      </w:r>
      <w:bookmarkEnd w:id="32"/>
      <w:bookmarkEnd w:id="33"/>
      <w:bookmarkEnd w:id="34"/>
    </w:p>
    <w:p w:rsidR="00D4483D" w:rsidRDefault="00D4483D" w:rsidP="006B454F">
      <w:pPr>
        <w:autoSpaceDE w:val="0"/>
        <w:autoSpaceDN w:val="0"/>
        <w:ind w:right="3"/>
        <w:jc w:val="both"/>
      </w:pPr>
    </w:p>
    <w:p w:rsidR="00D4483D" w:rsidRPr="00946493" w:rsidRDefault="00D4483D" w:rsidP="005D5CC0">
      <w:pPr>
        <w:jc w:val="both"/>
        <w:rPr>
          <w:szCs w:val="20"/>
        </w:rPr>
      </w:pPr>
      <w:r>
        <w:rPr>
          <w:szCs w:val="20"/>
        </w:rPr>
        <w:t>C</w:t>
      </w:r>
      <w:r w:rsidRPr="00946493">
        <w:rPr>
          <w:szCs w:val="20"/>
        </w:rPr>
        <w:t xml:space="preserve">onformément aux dispositions contractuelles, le parc compteurs est propriété du Délégataire. Ainsi, </w:t>
      </w:r>
      <w:r>
        <w:rPr>
          <w:szCs w:val="20"/>
        </w:rPr>
        <w:t>la Société des Eaux de Melun</w:t>
      </w:r>
      <w:r w:rsidRPr="00946493">
        <w:rPr>
          <w:szCs w:val="20"/>
        </w:rPr>
        <w:t xml:space="preserve">propose </w:t>
      </w:r>
      <w:r>
        <w:rPr>
          <w:szCs w:val="20"/>
        </w:rPr>
        <w:t>une</w:t>
      </w:r>
      <w:r w:rsidRPr="00946493">
        <w:rPr>
          <w:szCs w:val="20"/>
        </w:rPr>
        <w:t xml:space="preserve"> valeur de rachat </w:t>
      </w:r>
      <w:r>
        <w:rPr>
          <w:szCs w:val="20"/>
        </w:rPr>
        <w:t xml:space="preserve">de </w:t>
      </w:r>
      <w:r w:rsidRPr="00674A72">
        <w:rPr>
          <w:szCs w:val="20"/>
        </w:rPr>
        <w:t>84 921 € (valeur août 2013), prise en charge par la Collectivité ou le prochain exploitant.</w:t>
      </w:r>
    </w:p>
    <w:p w:rsidR="00D4483D" w:rsidRDefault="00D4483D" w:rsidP="00017442">
      <w:pPr>
        <w:jc w:val="both"/>
        <w:rPr>
          <w:szCs w:val="20"/>
        </w:rPr>
      </w:pPr>
    </w:p>
    <w:p w:rsidR="00D4483D" w:rsidRPr="00DF7A73" w:rsidRDefault="00D4483D" w:rsidP="001E3271">
      <w:pPr>
        <w:spacing w:after="200" w:line="276" w:lineRule="auto"/>
        <w:rPr>
          <w:szCs w:val="20"/>
        </w:rPr>
      </w:pPr>
      <w:r w:rsidRPr="00DF7A73">
        <w:rPr>
          <w:szCs w:val="20"/>
        </w:rPr>
        <w:t>Les prix unitaires indiqués pour le calcul de cette valorisation sont les suivants :</w:t>
      </w:r>
    </w:p>
    <w:p w:rsidR="00D4483D" w:rsidRPr="00DF7A73" w:rsidRDefault="00D4483D" w:rsidP="00017442">
      <w:pPr>
        <w:rPr>
          <w:szCs w:val="20"/>
        </w:rPr>
      </w:pPr>
    </w:p>
    <w:tbl>
      <w:tblPr>
        <w:tblW w:w="9513" w:type="dxa"/>
        <w:tblInd w:w="55" w:type="dxa"/>
        <w:tblCellMar>
          <w:left w:w="70" w:type="dxa"/>
          <w:right w:w="70" w:type="dxa"/>
        </w:tblCellMar>
        <w:tblLook w:val="0000"/>
      </w:tblPr>
      <w:tblGrid>
        <w:gridCol w:w="1688"/>
        <w:gridCol w:w="1163"/>
        <w:gridCol w:w="1163"/>
        <w:gridCol w:w="1163"/>
        <w:gridCol w:w="1163"/>
        <w:gridCol w:w="1163"/>
        <w:gridCol w:w="2010"/>
      </w:tblGrid>
      <w:tr w:rsidR="00D4483D" w:rsidRPr="00DF7A73" w:rsidTr="00B13FE0">
        <w:trPr>
          <w:trHeight w:val="226"/>
        </w:trPr>
        <w:tc>
          <w:tcPr>
            <w:tcW w:w="1688" w:type="dxa"/>
            <w:tcBorders>
              <w:top w:val="nil"/>
              <w:left w:val="nil"/>
              <w:bottom w:val="nil"/>
              <w:right w:val="nil"/>
            </w:tcBorders>
            <w:noWrap/>
            <w:vAlign w:val="center"/>
          </w:tcPr>
          <w:p w:rsidR="00D4483D" w:rsidRPr="00DF7A73" w:rsidRDefault="00D4483D" w:rsidP="001C4CF3">
            <w:pPr>
              <w:jc w:val="right"/>
              <w:rPr>
                <w:b/>
                <w:bCs/>
                <w:sz w:val="20"/>
                <w:szCs w:val="20"/>
              </w:rPr>
            </w:pPr>
            <w:r w:rsidRPr="00DF7A73">
              <w:rPr>
                <w:b/>
                <w:bCs/>
                <w:sz w:val="20"/>
                <w:szCs w:val="20"/>
              </w:rPr>
              <w:t>Diamètre compteur</w:t>
            </w:r>
          </w:p>
        </w:tc>
        <w:tc>
          <w:tcPr>
            <w:tcW w:w="1163" w:type="dxa"/>
            <w:tcBorders>
              <w:top w:val="single" w:sz="4" w:space="0" w:color="auto"/>
              <w:left w:val="single" w:sz="4" w:space="0" w:color="auto"/>
              <w:bottom w:val="nil"/>
              <w:right w:val="single" w:sz="4" w:space="0" w:color="auto"/>
            </w:tcBorders>
            <w:shd w:val="clear" w:color="auto" w:fill="D9D9D9"/>
            <w:noWrap/>
            <w:vAlign w:val="center"/>
          </w:tcPr>
          <w:p w:rsidR="00D4483D" w:rsidRPr="00DF7A73" w:rsidRDefault="00D4483D" w:rsidP="001C4CF3">
            <w:pPr>
              <w:jc w:val="center"/>
              <w:rPr>
                <w:b/>
                <w:bCs/>
                <w:sz w:val="20"/>
                <w:szCs w:val="20"/>
              </w:rPr>
            </w:pPr>
            <w:r w:rsidRPr="00DF7A73">
              <w:rPr>
                <w:b/>
                <w:bCs/>
                <w:sz w:val="20"/>
                <w:szCs w:val="20"/>
              </w:rPr>
              <w:t>Ø 12-15</w:t>
            </w:r>
          </w:p>
        </w:tc>
        <w:tc>
          <w:tcPr>
            <w:tcW w:w="1163" w:type="dxa"/>
            <w:tcBorders>
              <w:top w:val="single" w:sz="4" w:space="0" w:color="auto"/>
              <w:left w:val="nil"/>
              <w:bottom w:val="nil"/>
              <w:right w:val="single" w:sz="4" w:space="0" w:color="auto"/>
            </w:tcBorders>
            <w:shd w:val="clear" w:color="auto" w:fill="D9D9D9"/>
            <w:noWrap/>
            <w:vAlign w:val="center"/>
          </w:tcPr>
          <w:p w:rsidR="00D4483D" w:rsidRPr="00DF7A73" w:rsidRDefault="00D4483D" w:rsidP="001C4CF3">
            <w:pPr>
              <w:jc w:val="center"/>
              <w:rPr>
                <w:b/>
                <w:bCs/>
                <w:sz w:val="20"/>
                <w:szCs w:val="20"/>
              </w:rPr>
            </w:pPr>
            <w:r w:rsidRPr="00DF7A73">
              <w:rPr>
                <w:b/>
                <w:bCs/>
                <w:sz w:val="20"/>
                <w:szCs w:val="20"/>
              </w:rPr>
              <w:t>Ø 20</w:t>
            </w:r>
          </w:p>
        </w:tc>
        <w:tc>
          <w:tcPr>
            <w:tcW w:w="1163" w:type="dxa"/>
            <w:tcBorders>
              <w:top w:val="single" w:sz="4" w:space="0" w:color="auto"/>
              <w:left w:val="nil"/>
              <w:bottom w:val="nil"/>
              <w:right w:val="single" w:sz="4" w:space="0" w:color="auto"/>
            </w:tcBorders>
            <w:shd w:val="clear" w:color="auto" w:fill="D9D9D9"/>
            <w:noWrap/>
            <w:vAlign w:val="center"/>
          </w:tcPr>
          <w:p w:rsidR="00D4483D" w:rsidRPr="00DF7A73" w:rsidRDefault="00D4483D" w:rsidP="001C4CF3">
            <w:pPr>
              <w:jc w:val="center"/>
              <w:rPr>
                <w:b/>
                <w:bCs/>
                <w:sz w:val="20"/>
                <w:szCs w:val="20"/>
              </w:rPr>
            </w:pPr>
            <w:r w:rsidRPr="00DF7A73">
              <w:rPr>
                <w:b/>
                <w:bCs/>
                <w:sz w:val="20"/>
                <w:szCs w:val="20"/>
              </w:rPr>
              <w:t>Ø 25-30</w:t>
            </w:r>
          </w:p>
        </w:tc>
        <w:tc>
          <w:tcPr>
            <w:tcW w:w="1163" w:type="dxa"/>
            <w:tcBorders>
              <w:top w:val="single" w:sz="4" w:space="0" w:color="auto"/>
              <w:left w:val="nil"/>
              <w:bottom w:val="nil"/>
              <w:right w:val="single" w:sz="4" w:space="0" w:color="auto"/>
            </w:tcBorders>
            <w:shd w:val="clear" w:color="auto" w:fill="D9D9D9"/>
            <w:noWrap/>
            <w:vAlign w:val="center"/>
          </w:tcPr>
          <w:p w:rsidR="00D4483D" w:rsidRPr="00DF7A73" w:rsidRDefault="00D4483D" w:rsidP="001C4CF3">
            <w:pPr>
              <w:jc w:val="center"/>
              <w:rPr>
                <w:b/>
                <w:bCs/>
                <w:sz w:val="20"/>
                <w:szCs w:val="20"/>
              </w:rPr>
            </w:pPr>
            <w:r w:rsidRPr="00DF7A73">
              <w:rPr>
                <w:b/>
                <w:bCs/>
                <w:sz w:val="20"/>
                <w:szCs w:val="20"/>
              </w:rPr>
              <w:t>Ø 40</w:t>
            </w:r>
          </w:p>
        </w:tc>
        <w:tc>
          <w:tcPr>
            <w:tcW w:w="1163" w:type="dxa"/>
            <w:tcBorders>
              <w:top w:val="single" w:sz="4" w:space="0" w:color="auto"/>
              <w:left w:val="nil"/>
              <w:bottom w:val="nil"/>
              <w:right w:val="single" w:sz="4" w:space="0" w:color="auto"/>
            </w:tcBorders>
            <w:shd w:val="clear" w:color="auto" w:fill="D9D9D9"/>
            <w:noWrap/>
            <w:vAlign w:val="center"/>
          </w:tcPr>
          <w:p w:rsidR="00D4483D" w:rsidRPr="00DF7A73" w:rsidRDefault="00D4483D" w:rsidP="00017442">
            <w:pPr>
              <w:jc w:val="center"/>
              <w:rPr>
                <w:b/>
                <w:bCs/>
                <w:sz w:val="20"/>
                <w:szCs w:val="20"/>
              </w:rPr>
            </w:pPr>
            <w:r w:rsidRPr="00DF7A73">
              <w:rPr>
                <w:b/>
                <w:bCs/>
                <w:sz w:val="20"/>
                <w:szCs w:val="20"/>
              </w:rPr>
              <w:t>Ø 60</w:t>
            </w:r>
          </w:p>
        </w:tc>
        <w:tc>
          <w:tcPr>
            <w:tcW w:w="2010" w:type="dxa"/>
            <w:tcBorders>
              <w:top w:val="single" w:sz="4" w:space="0" w:color="auto"/>
              <w:left w:val="nil"/>
              <w:bottom w:val="nil"/>
              <w:right w:val="single" w:sz="4" w:space="0" w:color="auto"/>
            </w:tcBorders>
            <w:shd w:val="clear" w:color="auto" w:fill="D9D9D9"/>
            <w:noWrap/>
            <w:vAlign w:val="center"/>
          </w:tcPr>
          <w:p w:rsidR="00D4483D" w:rsidRPr="00DF7A73" w:rsidRDefault="00D4483D" w:rsidP="001C4CF3">
            <w:pPr>
              <w:jc w:val="center"/>
              <w:rPr>
                <w:b/>
                <w:bCs/>
                <w:sz w:val="20"/>
                <w:szCs w:val="20"/>
              </w:rPr>
            </w:pPr>
            <w:r w:rsidRPr="00DF7A73">
              <w:rPr>
                <w:b/>
                <w:bCs/>
                <w:sz w:val="20"/>
                <w:szCs w:val="20"/>
              </w:rPr>
              <w:t>Autres Ø</w:t>
            </w:r>
          </w:p>
        </w:tc>
      </w:tr>
      <w:tr w:rsidR="00D4483D" w:rsidRPr="00DF7A73" w:rsidTr="001C4CF3">
        <w:trPr>
          <w:trHeight w:val="226"/>
        </w:trPr>
        <w:tc>
          <w:tcPr>
            <w:tcW w:w="1688" w:type="dxa"/>
            <w:tcBorders>
              <w:top w:val="single" w:sz="4" w:space="0" w:color="auto"/>
              <w:left w:val="single" w:sz="4" w:space="0" w:color="auto"/>
              <w:bottom w:val="single" w:sz="4" w:space="0" w:color="auto"/>
              <w:right w:val="single" w:sz="4" w:space="0" w:color="auto"/>
            </w:tcBorders>
            <w:vAlign w:val="center"/>
          </w:tcPr>
          <w:p w:rsidR="00D4483D" w:rsidRPr="00DF7A73" w:rsidRDefault="00D4483D" w:rsidP="00017442">
            <w:pPr>
              <w:jc w:val="center"/>
              <w:rPr>
                <w:sz w:val="20"/>
                <w:szCs w:val="20"/>
              </w:rPr>
            </w:pPr>
            <w:r w:rsidRPr="00DF7A73">
              <w:rPr>
                <w:sz w:val="20"/>
                <w:szCs w:val="20"/>
              </w:rPr>
              <w:t>Valeur unit. 2012 compteurs posés avant 2008</w:t>
            </w:r>
          </w:p>
        </w:tc>
        <w:tc>
          <w:tcPr>
            <w:tcW w:w="1163" w:type="dxa"/>
            <w:tcBorders>
              <w:top w:val="single" w:sz="4" w:space="0" w:color="auto"/>
              <w:left w:val="nil"/>
              <w:bottom w:val="single" w:sz="4" w:space="0" w:color="auto"/>
              <w:right w:val="single" w:sz="4" w:space="0" w:color="auto"/>
            </w:tcBorders>
            <w:noWrap/>
            <w:vAlign w:val="center"/>
          </w:tcPr>
          <w:p w:rsidR="00D4483D" w:rsidRPr="00DF7A73" w:rsidRDefault="00D4483D" w:rsidP="001C4CF3">
            <w:pPr>
              <w:jc w:val="center"/>
              <w:rPr>
                <w:sz w:val="20"/>
                <w:szCs w:val="20"/>
              </w:rPr>
            </w:pPr>
            <w:r w:rsidRPr="00DF7A73">
              <w:rPr>
                <w:sz w:val="20"/>
                <w:szCs w:val="20"/>
              </w:rPr>
              <w:t xml:space="preserve">49 € </w:t>
            </w:r>
          </w:p>
        </w:tc>
        <w:tc>
          <w:tcPr>
            <w:tcW w:w="1163" w:type="dxa"/>
            <w:tcBorders>
              <w:top w:val="single" w:sz="4" w:space="0" w:color="auto"/>
              <w:left w:val="nil"/>
              <w:bottom w:val="single" w:sz="4" w:space="0" w:color="auto"/>
              <w:right w:val="single" w:sz="4" w:space="0" w:color="auto"/>
            </w:tcBorders>
            <w:noWrap/>
            <w:vAlign w:val="center"/>
          </w:tcPr>
          <w:p w:rsidR="00D4483D" w:rsidRPr="00DF7A73" w:rsidRDefault="00D4483D" w:rsidP="001C4CF3">
            <w:pPr>
              <w:jc w:val="center"/>
              <w:rPr>
                <w:sz w:val="20"/>
                <w:szCs w:val="20"/>
              </w:rPr>
            </w:pPr>
            <w:r w:rsidRPr="00DF7A73">
              <w:rPr>
                <w:sz w:val="20"/>
                <w:szCs w:val="20"/>
              </w:rPr>
              <w:t xml:space="preserve">65 € </w:t>
            </w:r>
          </w:p>
        </w:tc>
        <w:tc>
          <w:tcPr>
            <w:tcW w:w="1163" w:type="dxa"/>
            <w:tcBorders>
              <w:top w:val="single" w:sz="4" w:space="0" w:color="auto"/>
              <w:left w:val="nil"/>
              <w:bottom w:val="single" w:sz="4" w:space="0" w:color="auto"/>
              <w:right w:val="single" w:sz="4" w:space="0" w:color="auto"/>
            </w:tcBorders>
            <w:noWrap/>
            <w:vAlign w:val="center"/>
          </w:tcPr>
          <w:p w:rsidR="00D4483D" w:rsidRPr="00DF7A73" w:rsidRDefault="00D4483D" w:rsidP="001C4CF3">
            <w:pPr>
              <w:jc w:val="center"/>
              <w:rPr>
                <w:sz w:val="20"/>
                <w:szCs w:val="20"/>
              </w:rPr>
            </w:pPr>
            <w:r w:rsidRPr="00DF7A73">
              <w:rPr>
                <w:sz w:val="20"/>
                <w:szCs w:val="20"/>
              </w:rPr>
              <w:t>275 €</w:t>
            </w:r>
          </w:p>
        </w:tc>
        <w:tc>
          <w:tcPr>
            <w:tcW w:w="1163" w:type="dxa"/>
            <w:tcBorders>
              <w:top w:val="single" w:sz="4" w:space="0" w:color="auto"/>
              <w:left w:val="nil"/>
              <w:bottom w:val="single" w:sz="4" w:space="0" w:color="auto"/>
              <w:right w:val="single" w:sz="4" w:space="0" w:color="auto"/>
            </w:tcBorders>
            <w:noWrap/>
            <w:vAlign w:val="center"/>
          </w:tcPr>
          <w:p w:rsidR="00D4483D" w:rsidRPr="00DF7A73" w:rsidRDefault="00D4483D" w:rsidP="001C4CF3">
            <w:pPr>
              <w:jc w:val="center"/>
              <w:rPr>
                <w:sz w:val="20"/>
                <w:szCs w:val="20"/>
              </w:rPr>
            </w:pPr>
            <w:r w:rsidRPr="00DF7A73">
              <w:rPr>
                <w:sz w:val="20"/>
                <w:szCs w:val="20"/>
              </w:rPr>
              <w:t>294 €</w:t>
            </w:r>
          </w:p>
        </w:tc>
        <w:tc>
          <w:tcPr>
            <w:tcW w:w="1163" w:type="dxa"/>
            <w:tcBorders>
              <w:top w:val="single" w:sz="4" w:space="0" w:color="auto"/>
              <w:left w:val="nil"/>
              <w:bottom w:val="single" w:sz="4" w:space="0" w:color="auto"/>
              <w:right w:val="single" w:sz="4" w:space="0" w:color="auto"/>
            </w:tcBorders>
            <w:noWrap/>
            <w:vAlign w:val="center"/>
          </w:tcPr>
          <w:p w:rsidR="00D4483D" w:rsidRPr="00DF7A73" w:rsidRDefault="00D4483D" w:rsidP="001C4CF3">
            <w:pPr>
              <w:jc w:val="center"/>
              <w:rPr>
                <w:sz w:val="20"/>
                <w:szCs w:val="20"/>
              </w:rPr>
            </w:pPr>
            <w:r w:rsidRPr="00DF7A73">
              <w:rPr>
                <w:sz w:val="20"/>
                <w:szCs w:val="20"/>
              </w:rPr>
              <w:t>461 €</w:t>
            </w:r>
          </w:p>
        </w:tc>
        <w:tc>
          <w:tcPr>
            <w:tcW w:w="2010" w:type="dxa"/>
            <w:tcBorders>
              <w:top w:val="single" w:sz="4" w:space="0" w:color="auto"/>
              <w:left w:val="nil"/>
              <w:bottom w:val="single" w:sz="4" w:space="0" w:color="auto"/>
              <w:right w:val="single" w:sz="4" w:space="0" w:color="auto"/>
            </w:tcBorders>
            <w:noWrap/>
            <w:vAlign w:val="center"/>
          </w:tcPr>
          <w:p w:rsidR="00D4483D" w:rsidRPr="00DF7A73" w:rsidRDefault="00D4483D" w:rsidP="001C4CF3">
            <w:pPr>
              <w:jc w:val="center"/>
              <w:rPr>
                <w:sz w:val="20"/>
                <w:szCs w:val="20"/>
              </w:rPr>
            </w:pPr>
            <w:r w:rsidRPr="00DF7A73">
              <w:rPr>
                <w:sz w:val="20"/>
                <w:szCs w:val="20"/>
              </w:rPr>
              <w:t>807 €</w:t>
            </w:r>
          </w:p>
        </w:tc>
      </w:tr>
      <w:tr w:rsidR="00D4483D" w:rsidRPr="00031203" w:rsidTr="001C4CF3">
        <w:trPr>
          <w:trHeight w:val="226"/>
        </w:trPr>
        <w:tc>
          <w:tcPr>
            <w:tcW w:w="1688" w:type="dxa"/>
            <w:tcBorders>
              <w:top w:val="single" w:sz="4" w:space="0" w:color="auto"/>
              <w:left w:val="single" w:sz="4" w:space="0" w:color="auto"/>
              <w:bottom w:val="single" w:sz="4" w:space="0" w:color="auto"/>
              <w:right w:val="single" w:sz="4" w:space="0" w:color="auto"/>
            </w:tcBorders>
            <w:vAlign w:val="center"/>
          </w:tcPr>
          <w:p w:rsidR="00D4483D" w:rsidRPr="00DF7A73" w:rsidRDefault="00D4483D" w:rsidP="00017442">
            <w:pPr>
              <w:jc w:val="center"/>
              <w:rPr>
                <w:sz w:val="20"/>
                <w:szCs w:val="20"/>
              </w:rPr>
            </w:pPr>
            <w:r w:rsidRPr="00DF7A73">
              <w:rPr>
                <w:sz w:val="20"/>
                <w:szCs w:val="20"/>
              </w:rPr>
              <w:t>Valeur unit. 2012 compteurs posés à partir de 2008</w:t>
            </w:r>
          </w:p>
        </w:tc>
        <w:tc>
          <w:tcPr>
            <w:tcW w:w="1163" w:type="dxa"/>
            <w:tcBorders>
              <w:top w:val="single" w:sz="4" w:space="0" w:color="auto"/>
              <w:left w:val="nil"/>
              <w:bottom w:val="single" w:sz="4" w:space="0" w:color="auto"/>
              <w:right w:val="single" w:sz="4" w:space="0" w:color="auto"/>
            </w:tcBorders>
            <w:noWrap/>
            <w:vAlign w:val="center"/>
          </w:tcPr>
          <w:p w:rsidR="00D4483D" w:rsidRPr="00DF7A73" w:rsidRDefault="00D4483D" w:rsidP="001C4CF3">
            <w:pPr>
              <w:jc w:val="center"/>
              <w:rPr>
                <w:sz w:val="20"/>
                <w:szCs w:val="20"/>
              </w:rPr>
            </w:pPr>
            <w:r w:rsidRPr="00DF7A73">
              <w:rPr>
                <w:sz w:val="20"/>
                <w:szCs w:val="20"/>
              </w:rPr>
              <w:t>60 €</w:t>
            </w:r>
          </w:p>
        </w:tc>
        <w:tc>
          <w:tcPr>
            <w:tcW w:w="1163" w:type="dxa"/>
            <w:tcBorders>
              <w:top w:val="single" w:sz="4" w:space="0" w:color="auto"/>
              <w:left w:val="nil"/>
              <w:bottom w:val="single" w:sz="4" w:space="0" w:color="auto"/>
              <w:right w:val="single" w:sz="4" w:space="0" w:color="auto"/>
            </w:tcBorders>
            <w:noWrap/>
            <w:vAlign w:val="center"/>
          </w:tcPr>
          <w:p w:rsidR="00D4483D" w:rsidRPr="00DF7A73" w:rsidRDefault="00D4483D" w:rsidP="001C4CF3">
            <w:pPr>
              <w:jc w:val="center"/>
              <w:rPr>
                <w:sz w:val="20"/>
                <w:szCs w:val="20"/>
              </w:rPr>
            </w:pPr>
            <w:r w:rsidRPr="00DF7A73">
              <w:rPr>
                <w:sz w:val="20"/>
                <w:szCs w:val="20"/>
              </w:rPr>
              <w:t>67 €</w:t>
            </w:r>
          </w:p>
        </w:tc>
        <w:tc>
          <w:tcPr>
            <w:tcW w:w="1163" w:type="dxa"/>
            <w:tcBorders>
              <w:top w:val="single" w:sz="4" w:space="0" w:color="auto"/>
              <w:left w:val="nil"/>
              <w:bottom w:val="single" w:sz="4" w:space="0" w:color="auto"/>
              <w:right w:val="single" w:sz="4" w:space="0" w:color="auto"/>
            </w:tcBorders>
            <w:noWrap/>
            <w:vAlign w:val="center"/>
          </w:tcPr>
          <w:p w:rsidR="00D4483D" w:rsidRPr="00DF7A73" w:rsidRDefault="00D4483D" w:rsidP="001C4CF3">
            <w:pPr>
              <w:jc w:val="center"/>
              <w:rPr>
                <w:sz w:val="20"/>
                <w:szCs w:val="20"/>
              </w:rPr>
            </w:pPr>
            <w:r w:rsidRPr="00DF7A73">
              <w:rPr>
                <w:sz w:val="20"/>
                <w:szCs w:val="20"/>
              </w:rPr>
              <w:t>271 €</w:t>
            </w:r>
          </w:p>
        </w:tc>
        <w:tc>
          <w:tcPr>
            <w:tcW w:w="1163" w:type="dxa"/>
            <w:tcBorders>
              <w:top w:val="single" w:sz="4" w:space="0" w:color="auto"/>
              <w:left w:val="nil"/>
              <w:bottom w:val="single" w:sz="4" w:space="0" w:color="auto"/>
              <w:right w:val="single" w:sz="4" w:space="0" w:color="auto"/>
            </w:tcBorders>
            <w:noWrap/>
            <w:vAlign w:val="center"/>
          </w:tcPr>
          <w:p w:rsidR="00D4483D" w:rsidRPr="00DF7A73" w:rsidRDefault="00D4483D" w:rsidP="001C4CF3">
            <w:pPr>
              <w:jc w:val="center"/>
              <w:rPr>
                <w:sz w:val="20"/>
                <w:szCs w:val="20"/>
              </w:rPr>
            </w:pPr>
            <w:r w:rsidRPr="00DF7A73">
              <w:rPr>
                <w:sz w:val="20"/>
                <w:szCs w:val="20"/>
              </w:rPr>
              <w:t>290 €</w:t>
            </w:r>
          </w:p>
        </w:tc>
        <w:tc>
          <w:tcPr>
            <w:tcW w:w="1163" w:type="dxa"/>
            <w:tcBorders>
              <w:top w:val="single" w:sz="4" w:space="0" w:color="auto"/>
              <w:left w:val="nil"/>
              <w:bottom w:val="single" w:sz="4" w:space="0" w:color="auto"/>
              <w:right w:val="single" w:sz="4" w:space="0" w:color="auto"/>
            </w:tcBorders>
            <w:noWrap/>
            <w:vAlign w:val="center"/>
          </w:tcPr>
          <w:p w:rsidR="00D4483D" w:rsidRPr="00DF7A73" w:rsidRDefault="00D4483D" w:rsidP="001C4CF3">
            <w:pPr>
              <w:jc w:val="center"/>
              <w:rPr>
                <w:sz w:val="20"/>
                <w:szCs w:val="20"/>
              </w:rPr>
            </w:pPr>
            <w:r w:rsidRPr="00DF7A73">
              <w:rPr>
                <w:sz w:val="20"/>
                <w:szCs w:val="20"/>
              </w:rPr>
              <w:t>518 €</w:t>
            </w:r>
          </w:p>
        </w:tc>
        <w:tc>
          <w:tcPr>
            <w:tcW w:w="2010" w:type="dxa"/>
            <w:tcBorders>
              <w:top w:val="single" w:sz="4" w:space="0" w:color="auto"/>
              <w:left w:val="nil"/>
              <w:bottom w:val="single" w:sz="4" w:space="0" w:color="auto"/>
              <w:right w:val="single" w:sz="4" w:space="0" w:color="auto"/>
            </w:tcBorders>
            <w:noWrap/>
            <w:vAlign w:val="center"/>
          </w:tcPr>
          <w:p w:rsidR="00D4483D" w:rsidRPr="00DF7A73" w:rsidRDefault="00D4483D" w:rsidP="001C4CF3">
            <w:pPr>
              <w:jc w:val="center"/>
              <w:rPr>
                <w:sz w:val="20"/>
                <w:szCs w:val="20"/>
                <w:lang w:val="en-US"/>
              </w:rPr>
            </w:pPr>
            <w:r w:rsidRPr="00DF7A73">
              <w:rPr>
                <w:sz w:val="20"/>
                <w:szCs w:val="20"/>
                <w:lang w:val="en-US"/>
              </w:rPr>
              <w:t>Diam 80 mm : 544 €</w:t>
            </w:r>
          </w:p>
          <w:p w:rsidR="00D4483D" w:rsidRPr="00DF7A73" w:rsidRDefault="00D4483D" w:rsidP="001C4CF3">
            <w:pPr>
              <w:jc w:val="center"/>
              <w:rPr>
                <w:sz w:val="20"/>
                <w:szCs w:val="20"/>
                <w:lang w:val="en-US"/>
              </w:rPr>
            </w:pPr>
            <w:r w:rsidRPr="00DF7A73">
              <w:rPr>
                <w:sz w:val="20"/>
                <w:szCs w:val="20"/>
                <w:lang w:val="en-US"/>
              </w:rPr>
              <w:t>Diam 100 mm : 763 €</w:t>
            </w:r>
          </w:p>
          <w:p w:rsidR="00D4483D" w:rsidRPr="00DF7A73" w:rsidRDefault="00D4483D" w:rsidP="001C4CF3">
            <w:pPr>
              <w:jc w:val="center"/>
              <w:rPr>
                <w:sz w:val="20"/>
                <w:szCs w:val="20"/>
                <w:lang w:val="en-US"/>
              </w:rPr>
            </w:pPr>
            <w:r w:rsidRPr="00DF7A73">
              <w:rPr>
                <w:sz w:val="20"/>
                <w:szCs w:val="20"/>
                <w:lang w:val="en-US"/>
              </w:rPr>
              <w:t>Diam 150 mm : 1064 €</w:t>
            </w:r>
          </w:p>
        </w:tc>
      </w:tr>
      <w:tr w:rsidR="00D4483D" w:rsidRPr="00BB587E" w:rsidTr="003A1D06">
        <w:trPr>
          <w:trHeight w:val="226"/>
        </w:trPr>
        <w:tc>
          <w:tcPr>
            <w:tcW w:w="1688" w:type="dxa"/>
            <w:tcBorders>
              <w:top w:val="single" w:sz="4" w:space="0" w:color="auto"/>
              <w:left w:val="single" w:sz="4" w:space="0" w:color="auto"/>
              <w:bottom w:val="single" w:sz="4" w:space="0" w:color="auto"/>
              <w:right w:val="single" w:sz="4" w:space="0" w:color="auto"/>
            </w:tcBorders>
            <w:vAlign w:val="center"/>
          </w:tcPr>
          <w:p w:rsidR="00D4483D" w:rsidRPr="00DF7A73" w:rsidRDefault="00D4483D" w:rsidP="00017442">
            <w:pPr>
              <w:jc w:val="center"/>
              <w:rPr>
                <w:sz w:val="20"/>
                <w:szCs w:val="20"/>
              </w:rPr>
            </w:pPr>
            <w:r>
              <w:rPr>
                <w:sz w:val="20"/>
                <w:szCs w:val="20"/>
              </w:rPr>
              <w:t>Plus-value pour les compteurs équipés de télérelève</w:t>
            </w:r>
          </w:p>
        </w:tc>
        <w:tc>
          <w:tcPr>
            <w:tcW w:w="7825" w:type="dxa"/>
            <w:gridSpan w:val="6"/>
            <w:tcBorders>
              <w:top w:val="single" w:sz="4" w:space="0" w:color="auto"/>
              <w:left w:val="nil"/>
              <w:bottom w:val="single" w:sz="4" w:space="0" w:color="auto"/>
              <w:right w:val="single" w:sz="4" w:space="0" w:color="auto"/>
            </w:tcBorders>
            <w:noWrap/>
            <w:vAlign w:val="center"/>
          </w:tcPr>
          <w:p w:rsidR="00D4483D" w:rsidRPr="00DF7A73" w:rsidRDefault="00D4483D" w:rsidP="001C4CF3">
            <w:pPr>
              <w:jc w:val="center"/>
              <w:rPr>
                <w:sz w:val="20"/>
                <w:szCs w:val="20"/>
              </w:rPr>
            </w:pPr>
            <w:r>
              <w:rPr>
                <w:sz w:val="20"/>
                <w:szCs w:val="20"/>
              </w:rPr>
              <w:t>+ 38 €</w:t>
            </w:r>
          </w:p>
        </w:tc>
      </w:tr>
    </w:tbl>
    <w:p w:rsidR="00D4483D" w:rsidRPr="00BB587E" w:rsidRDefault="00D4483D" w:rsidP="00017442">
      <w:pPr>
        <w:jc w:val="both"/>
        <w:rPr>
          <w:szCs w:val="20"/>
          <w:highlight w:val="yellow"/>
        </w:rPr>
      </w:pPr>
    </w:p>
    <w:p w:rsidR="00D4483D" w:rsidRPr="007A2C83" w:rsidRDefault="00D4483D" w:rsidP="00017442">
      <w:pPr>
        <w:jc w:val="both"/>
        <w:rPr>
          <w:szCs w:val="20"/>
        </w:rPr>
      </w:pPr>
      <w:r w:rsidRPr="007A2C83">
        <w:rPr>
          <w:szCs w:val="20"/>
        </w:rPr>
        <w:t>La valeur de rachat devrait être actualisée ultérieurement pour prendre en compte les évolutions du parc compteurs jusqu’à la fin du contrat.</w:t>
      </w:r>
    </w:p>
    <w:p w:rsidR="00D4483D" w:rsidRPr="00BB587E" w:rsidRDefault="00D4483D" w:rsidP="00017442">
      <w:pPr>
        <w:rPr>
          <w:szCs w:val="20"/>
          <w:highlight w:val="yellow"/>
        </w:rPr>
      </w:pPr>
    </w:p>
    <w:p w:rsidR="00D4483D" w:rsidRPr="007A2C83" w:rsidRDefault="00D4483D" w:rsidP="00017442">
      <w:pPr>
        <w:jc w:val="both"/>
        <w:rPr>
          <w:szCs w:val="20"/>
        </w:rPr>
      </w:pPr>
      <w:r w:rsidRPr="007A2C83">
        <w:rPr>
          <w:szCs w:val="20"/>
        </w:rPr>
        <w:t xml:space="preserve">Les coûts unitaires différents à partir de 2008 sont justifiés par un changement de méthode comptable pour la détermination des frais de pose quia généré une hausse de la valorisation unitaire des compteurs par l’ajout de frais de suivi administratif du parc compteur. </w:t>
      </w:r>
    </w:p>
    <w:p w:rsidR="00D4483D" w:rsidRPr="00BB587E" w:rsidRDefault="00D4483D" w:rsidP="00017442">
      <w:pPr>
        <w:rPr>
          <w:szCs w:val="20"/>
          <w:highlight w:val="yellow"/>
        </w:rPr>
      </w:pPr>
    </w:p>
    <w:p w:rsidR="00D4483D" w:rsidRPr="007A2C83" w:rsidRDefault="00D4483D" w:rsidP="00017442">
      <w:pPr>
        <w:rPr>
          <w:szCs w:val="20"/>
        </w:rPr>
      </w:pPr>
      <w:r w:rsidRPr="007A2C83">
        <w:rPr>
          <w:szCs w:val="20"/>
        </w:rPr>
        <w:t>La proposition de la SEM amène les observations suivantes :</w:t>
      </w:r>
    </w:p>
    <w:p w:rsidR="00D4483D" w:rsidRPr="007A2C83" w:rsidRDefault="00D4483D" w:rsidP="00017442">
      <w:pPr>
        <w:rPr>
          <w:szCs w:val="20"/>
        </w:rPr>
      </w:pPr>
    </w:p>
    <w:p w:rsidR="00D4483D" w:rsidRPr="007A2C83" w:rsidRDefault="00D4483D" w:rsidP="00017442">
      <w:pPr>
        <w:numPr>
          <w:ilvl w:val="0"/>
          <w:numId w:val="17"/>
        </w:numPr>
        <w:jc w:val="both"/>
        <w:rPr>
          <w:szCs w:val="20"/>
        </w:rPr>
      </w:pPr>
      <w:r>
        <w:rPr>
          <w:szCs w:val="20"/>
          <w:u w:val="single"/>
        </w:rPr>
        <w:t>Â</w:t>
      </w:r>
      <w:r w:rsidRPr="007A2C83">
        <w:rPr>
          <w:szCs w:val="20"/>
          <w:u w:val="single"/>
        </w:rPr>
        <w:t>ge maximal</w:t>
      </w:r>
      <w:r w:rsidRPr="007A2C83">
        <w:rPr>
          <w:szCs w:val="20"/>
        </w:rPr>
        <w:t> : 14 ans ; réalisation d’un abattement sur le prix unitaire du compteur de 1/14</w:t>
      </w:r>
      <w:r w:rsidRPr="007A2C83">
        <w:rPr>
          <w:szCs w:val="20"/>
          <w:vertAlign w:val="superscript"/>
        </w:rPr>
        <w:t>ème</w:t>
      </w:r>
      <w:r w:rsidRPr="007A2C83">
        <w:rPr>
          <w:szCs w:val="20"/>
        </w:rPr>
        <w:t xml:space="preserve"> par année écoulée. Toutefois, les compteurs âgés de plus de 14 ans, alors qu’ils sont entièrement amortis, font tout de même l’objet d’une valorisation résiduelle</w:t>
      </w:r>
      <w:r>
        <w:rPr>
          <w:szCs w:val="20"/>
        </w:rPr>
        <w:t>.</w:t>
      </w:r>
    </w:p>
    <w:p w:rsidR="00D4483D" w:rsidRPr="007A2C83" w:rsidRDefault="00D4483D" w:rsidP="00017442">
      <w:pPr>
        <w:ind w:left="360"/>
        <w:jc w:val="both"/>
        <w:rPr>
          <w:szCs w:val="20"/>
        </w:rPr>
      </w:pPr>
    </w:p>
    <w:p w:rsidR="00D4483D" w:rsidRPr="007A2C83" w:rsidRDefault="00D4483D" w:rsidP="00017442">
      <w:pPr>
        <w:numPr>
          <w:ilvl w:val="0"/>
          <w:numId w:val="17"/>
        </w:numPr>
        <w:jc w:val="both"/>
        <w:rPr>
          <w:szCs w:val="20"/>
        </w:rPr>
      </w:pPr>
      <w:r w:rsidRPr="007A2C83">
        <w:rPr>
          <w:szCs w:val="20"/>
          <w:u w:val="single"/>
        </w:rPr>
        <w:t>Coût unitaire de rachat du compteur</w:t>
      </w:r>
      <w:r w:rsidRPr="007A2C83">
        <w:rPr>
          <w:szCs w:val="20"/>
        </w:rPr>
        <w:t> : Le coût unitaire utilisé pour la valorisation du parc inclut des frais de pose du compteur et éventuellement des frais généraux alors que le renouvellement des compteurs, y compris la pose, incombe au Délégataire dans le cadre de sa rémunération auprès des usagers. En effet, le contrat expose que seule la fourniture des compteurs est en « location »). Aussi, le Délégataire amortit les frais de pose par sa rémunération et n’a pas lieu d’être rémunéré une seconde fois pour cette prestation lors du changement de propriété du parc.</w:t>
      </w:r>
    </w:p>
    <w:p w:rsidR="00D4483D" w:rsidRPr="00BB587E" w:rsidRDefault="00D4483D" w:rsidP="00017442">
      <w:pPr>
        <w:autoSpaceDE w:val="0"/>
        <w:autoSpaceDN w:val="0"/>
        <w:ind w:right="3"/>
        <w:jc w:val="both"/>
        <w:rPr>
          <w:highlight w:val="yellow"/>
        </w:rPr>
      </w:pPr>
    </w:p>
    <w:p w:rsidR="00D4483D" w:rsidRDefault="00D4483D" w:rsidP="00017442">
      <w:pPr>
        <w:autoSpaceDE w:val="0"/>
        <w:autoSpaceDN w:val="0"/>
        <w:ind w:right="3"/>
        <w:jc w:val="both"/>
        <w:rPr>
          <w:highlight w:val="yellow"/>
        </w:rPr>
      </w:pPr>
    </w:p>
    <w:p w:rsidR="00D4483D" w:rsidRDefault="00D4483D" w:rsidP="00017442">
      <w:pPr>
        <w:autoSpaceDE w:val="0"/>
        <w:autoSpaceDN w:val="0"/>
        <w:ind w:right="3"/>
        <w:jc w:val="both"/>
      </w:pPr>
      <w:r w:rsidRPr="007A2C83">
        <w:t>Sur la base des observations ci-dessus, en considérant uniquement les coûts unitaires de fourniture de compteurs et après retrait des frais de pose déjà facturés et de la valorisation résiduelle des compteurs anciens, la valorisation du parc compteurs serait estimée à environ 34 k€.</w:t>
      </w:r>
    </w:p>
    <w:p w:rsidR="00D4483D" w:rsidRDefault="00D4483D" w:rsidP="00C45464">
      <w:pPr>
        <w:autoSpaceDE w:val="0"/>
        <w:autoSpaceDN w:val="0"/>
        <w:ind w:right="3"/>
        <w:jc w:val="both"/>
      </w:pPr>
    </w:p>
    <w:p w:rsidR="00D4483D" w:rsidRDefault="00D4483D" w:rsidP="00C45464">
      <w:pPr>
        <w:autoSpaceDE w:val="0"/>
        <w:autoSpaceDN w:val="0"/>
        <w:ind w:right="3"/>
        <w:jc w:val="both"/>
      </w:pPr>
    </w:p>
    <w:p w:rsidR="00D4483D" w:rsidRPr="001409A4" w:rsidRDefault="00D4483D">
      <w:pPr>
        <w:spacing w:after="200" w:line="276" w:lineRule="auto"/>
        <w:rPr>
          <w:b/>
          <w:sz w:val="28"/>
          <w:szCs w:val="28"/>
          <w:u w:val="single"/>
        </w:rPr>
      </w:pPr>
    </w:p>
    <w:p w:rsidR="00D4483D" w:rsidRPr="001409A4" w:rsidRDefault="00D4483D">
      <w:pPr>
        <w:spacing w:after="200" w:line="276" w:lineRule="auto"/>
        <w:rPr>
          <w:b/>
          <w:sz w:val="28"/>
          <w:szCs w:val="28"/>
          <w:u w:val="single"/>
        </w:rPr>
      </w:pPr>
    </w:p>
    <w:p w:rsidR="00D4483D" w:rsidRPr="006D407E" w:rsidRDefault="00D4483D" w:rsidP="002E6768">
      <w:pPr>
        <w:pStyle w:val="Heading1"/>
        <w:numPr>
          <w:ilvl w:val="0"/>
          <w:numId w:val="6"/>
        </w:numPr>
      </w:pPr>
      <w:bookmarkStart w:id="35" w:name="_Toc367105231"/>
      <w:r w:rsidRPr="006D407E">
        <w:t xml:space="preserve">Aspects </w:t>
      </w:r>
      <w:r>
        <w:t>administratifs et organisationnels</w:t>
      </w:r>
      <w:bookmarkEnd w:id="35"/>
    </w:p>
    <w:p w:rsidR="00D4483D" w:rsidRDefault="00D4483D" w:rsidP="006D407E">
      <w:pPr>
        <w:jc w:val="both"/>
      </w:pPr>
    </w:p>
    <w:p w:rsidR="00D4483D" w:rsidRPr="00681527" w:rsidRDefault="00D4483D" w:rsidP="00380FF6">
      <w:pPr>
        <w:pStyle w:val="Heading2"/>
        <w:numPr>
          <w:ilvl w:val="1"/>
          <w:numId w:val="6"/>
        </w:numPr>
      </w:pPr>
      <w:bookmarkStart w:id="36" w:name="_Toc367105232"/>
      <w:r w:rsidRPr="00681527">
        <w:t>Transfert de personnel</w:t>
      </w:r>
      <w:bookmarkEnd w:id="36"/>
    </w:p>
    <w:p w:rsidR="00D4483D" w:rsidRDefault="00D4483D" w:rsidP="006D407E">
      <w:pPr>
        <w:jc w:val="both"/>
      </w:pPr>
    </w:p>
    <w:p w:rsidR="00D4483D" w:rsidRDefault="00D4483D" w:rsidP="006D407E">
      <w:pPr>
        <w:jc w:val="both"/>
      </w:pPr>
      <w:r>
        <w:t>Le Délégataire ne propose pas de transfert de personnel en cas de changement d’exploitant, bien que la masse salariale affectée au contrat soit équivalente à 4 à 5 équivalents temps plein</w:t>
      </w:r>
    </w:p>
    <w:p w:rsidR="00D4483D" w:rsidRDefault="00D4483D">
      <w:pPr>
        <w:spacing w:after="200" w:line="276" w:lineRule="auto"/>
        <w:rPr>
          <w:rFonts w:cs="Arial"/>
          <w:b/>
          <w:bCs/>
          <w:iCs/>
          <w:sz w:val="26"/>
          <w:szCs w:val="26"/>
          <w:u w:val="single"/>
        </w:rPr>
      </w:pPr>
    </w:p>
    <w:p w:rsidR="00D4483D" w:rsidRPr="009A1140" w:rsidRDefault="00D4483D" w:rsidP="002E6768">
      <w:pPr>
        <w:pStyle w:val="Heading2"/>
        <w:numPr>
          <w:ilvl w:val="1"/>
          <w:numId w:val="6"/>
        </w:numPr>
      </w:pPr>
      <w:bookmarkStart w:id="37" w:name="_Toc367105233"/>
      <w:r w:rsidRPr="00DF2FEB">
        <w:t>Contrats et conventions en cours</w:t>
      </w:r>
      <w:bookmarkEnd w:id="37"/>
    </w:p>
    <w:p w:rsidR="00D4483D" w:rsidRDefault="00D4483D" w:rsidP="00162175">
      <w:pPr>
        <w:jc w:val="both"/>
      </w:pPr>
    </w:p>
    <w:p w:rsidR="00D4483D" w:rsidRPr="00FD5EE5" w:rsidRDefault="00D4483D" w:rsidP="00162175">
      <w:pPr>
        <w:jc w:val="both"/>
        <w:rPr>
          <w:highlight w:val="yellow"/>
        </w:rPr>
      </w:pPr>
      <w:r>
        <w:t>Aucune convention ou contrat en cours ne nécessite de transfert à un nouvel exploitant, en l’absence de convention avec la commune de La Rochette. Les contrats d’abonnement énergétiques et télécom donnent lieu à résiliation et souscription d’un nouvel abonnement par un nouvel exploitant.</w:t>
      </w:r>
    </w:p>
    <w:p w:rsidR="00D4483D" w:rsidRDefault="00D4483D" w:rsidP="00162175">
      <w:pPr>
        <w:jc w:val="both"/>
        <w:rPr>
          <w:highlight w:val="yellow"/>
        </w:rPr>
      </w:pPr>
    </w:p>
    <w:p w:rsidR="00D4483D" w:rsidRDefault="00D4483D" w:rsidP="00162175">
      <w:pPr>
        <w:jc w:val="both"/>
        <w:rPr>
          <w:highlight w:val="yellow"/>
        </w:rPr>
      </w:pPr>
    </w:p>
    <w:p w:rsidR="00D4483D" w:rsidRPr="001409A4" w:rsidRDefault="00D4483D">
      <w:pPr>
        <w:spacing w:after="200" w:line="276" w:lineRule="auto"/>
        <w:rPr>
          <w:b/>
          <w:sz w:val="30"/>
          <w:szCs w:val="30"/>
          <w:u w:val="single"/>
        </w:rPr>
      </w:pPr>
      <w:r>
        <w:rPr>
          <w:sz w:val="30"/>
          <w:szCs w:val="30"/>
        </w:rPr>
        <w:br w:type="page"/>
      </w:r>
    </w:p>
    <w:p w:rsidR="00D4483D" w:rsidRPr="003E7E7A" w:rsidRDefault="00D4483D" w:rsidP="00BB587E">
      <w:pPr>
        <w:pStyle w:val="Heading1"/>
        <w:numPr>
          <w:ilvl w:val="0"/>
          <w:numId w:val="6"/>
        </w:numPr>
      </w:pPr>
      <w:bookmarkStart w:id="38" w:name="_Toc367105234"/>
      <w:r w:rsidRPr="003E7E7A">
        <w:rPr>
          <w:sz w:val="30"/>
          <w:szCs w:val="30"/>
        </w:rPr>
        <w:t>Synthèse et pistes d</w:t>
      </w:r>
      <w:r>
        <w:rPr>
          <w:sz w:val="30"/>
          <w:szCs w:val="30"/>
        </w:rPr>
        <w:t>’évolution et d’amélioration du</w:t>
      </w:r>
      <w:r w:rsidRPr="003E7E7A">
        <w:rPr>
          <w:sz w:val="30"/>
          <w:szCs w:val="30"/>
        </w:rPr>
        <w:t xml:space="preserve"> service</w:t>
      </w:r>
      <w:bookmarkEnd w:id="38"/>
    </w:p>
    <w:p w:rsidR="00D4483D" w:rsidRPr="001409A4" w:rsidRDefault="00D4483D" w:rsidP="00AA63B4">
      <w:pPr>
        <w:jc w:val="both"/>
        <w:rPr>
          <w:b/>
          <w:sz w:val="30"/>
          <w:szCs w:val="30"/>
          <w:u w:val="single"/>
        </w:rPr>
      </w:pPr>
    </w:p>
    <w:p w:rsidR="00D4483D" w:rsidRPr="001170BA" w:rsidRDefault="00D4483D" w:rsidP="00AA63B4">
      <w:pPr>
        <w:jc w:val="both"/>
      </w:pPr>
      <w:r w:rsidRPr="001170BA">
        <w:t xml:space="preserve">Sur le plan technique, l’exploitation du service d’eau potable de la commune de Bois-le-Roi est marquée par un rendement de réseau peu performant et en nette dégradation, sous l’effet potentiel de plusieurs facteurs : </w:t>
      </w:r>
    </w:p>
    <w:p w:rsidR="00D4483D" w:rsidRPr="001170BA" w:rsidRDefault="00D4483D" w:rsidP="00AA63B4">
      <w:pPr>
        <w:jc w:val="both"/>
      </w:pPr>
    </w:p>
    <w:p w:rsidR="00D4483D" w:rsidRPr="001170BA" w:rsidRDefault="00D4483D" w:rsidP="00F434FA">
      <w:pPr>
        <w:pStyle w:val="ListParagraph"/>
        <w:numPr>
          <w:ilvl w:val="0"/>
          <w:numId w:val="23"/>
        </w:numPr>
        <w:jc w:val="both"/>
      </w:pPr>
      <w:r w:rsidRPr="001170BA">
        <w:t xml:space="preserve">Peu d’opérations de recherche de fuites systématiques, outils de recherche à développer (sectorisation), </w:t>
      </w:r>
    </w:p>
    <w:p w:rsidR="00D4483D" w:rsidRPr="001170BA" w:rsidRDefault="00D4483D" w:rsidP="00F434FA">
      <w:pPr>
        <w:pStyle w:val="ListParagraph"/>
        <w:numPr>
          <w:ilvl w:val="0"/>
          <w:numId w:val="23"/>
        </w:numPr>
        <w:jc w:val="both"/>
      </w:pPr>
      <w:r w:rsidRPr="001170BA">
        <w:t>Vieillissement des réseaux à étudier,</w:t>
      </w:r>
    </w:p>
    <w:p w:rsidR="00D4483D" w:rsidRPr="001170BA" w:rsidRDefault="00D4483D" w:rsidP="00F434FA">
      <w:pPr>
        <w:pStyle w:val="ListParagraph"/>
        <w:numPr>
          <w:ilvl w:val="0"/>
          <w:numId w:val="23"/>
        </w:numPr>
        <w:jc w:val="both"/>
      </w:pPr>
      <w:r w:rsidRPr="001170BA">
        <w:t xml:space="preserve">Parc compteursrelativement âgé générant potentiellement des sous-comptages. </w:t>
      </w:r>
    </w:p>
    <w:p w:rsidR="00D4483D" w:rsidRPr="001170BA" w:rsidRDefault="00D4483D" w:rsidP="00AA63B4">
      <w:pPr>
        <w:jc w:val="both"/>
      </w:pPr>
    </w:p>
    <w:p w:rsidR="00D4483D" w:rsidRDefault="00D4483D" w:rsidP="00AA63B4">
      <w:pPr>
        <w:jc w:val="both"/>
      </w:pPr>
      <w:r w:rsidRPr="001170BA">
        <w:t>Les axes de progrès reposent ainsi essentiellement sur l’amélioration des paramètres rendement/ILP par la maîtrise de la connaissance du fonctionnement des réseaux, l’amélioration de la réactivité en matière d’exploitation et éventuellement une amélioration dans la constitution des programmes de travaux de renouvellement de canalisations. A court ou moyen terme, les aides au financement des projets par le Conseil Général et l’Agence de l’Eau pourraient être conditionnées à l’atteinte des objectifs de rendement définis par la réglementation.</w:t>
      </w:r>
    </w:p>
    <w:p w:rsidR="00D4483D" w:rsidRPr="001170BA" w:rsidRDefault="00D4483D" w:rsidP="00AA63B4">
      <w:pPr>
        <w:jc w:val="both"/>
      </w:pPr>
    </w:p>
    <w:p w:rsidR="00D4483D" w:rsidRDefault="00D4483D" w:rsidP="00CB51D0">
      <w:pPr>
        <w:jc w:val="both"/>
      </w:pPr>
      <w:r w:rsidRPr="001170BA">
        <w:t xml:space="preserve">Combiné à la nécessité de réhabiliter les branchements en plomb pour se rendre conforme à la réglementation, le service d’eau de Bois-le-Roi devrait s’inscrire dès lors dans une phase d’évolution nécessitant une maîtrise complète de la connaissance des réseaux et de leur fonctionnement, ainsi que de leur devenir. </w:t>
      </w:r>
    </w:p>
    <w:p w:rsidR="00D4483D" w:rsidRPr="001170BA" w:rsidRDefault="00D4483D" w:rsidP="00CB51D0">
      <w:pPr>
        <w:jc w:val="both"/>
      </w:pPr>
    </w:p>
    <w:p w:rsidR="00D4483D" w:rsidRPr="001170BA" w:rsidRDefault="00D4483D" w:rsidP="00CB51D0">
      <w:pPr>
        <w:jc w:val="both"/>
      </w:pPr>
      <w:r w:rsidRPr="001170BA">
        <w:t>Pour aider la Collectivité dans cette démarche, il conviendra de disposer a minima d’une information complète, permanente et à jour, point sur lequel l’exploitant peut avoir un rôle important.</w:t>
      </w:r>
    </w:p>
    <w:p w:rsidR="00D4483D" w:rsidRDefault="00D4483D" w:rsidP="001170BA">
      <w:pPr>
        <w:jc w:val="both"/>
      </w:pPr>
    </w:p>
    <w:p w:rsidR="00D4483D" w:rsidRDefault="00D4483D" w:rsidP="001170BA">
      <w:pPr>
        <w:jc w:val="both"/>
      </w:pPr>
      <w:r>
        <w:t>Dans ce cadre, de nombreux outils pourraient être développés par la Collectivité ou son exploitant :</w:t>
      </w:r>
    </w:p>
    <w:p w:rsidR="00D4483D" w:rsidRDefault="00D4483D" w:rsidP="001170BA">
      <w:pPr>
        <w:jc w:val="both"/>
      </w:pPr>
    </w:p>
    <w:p w:rsidR="00D4483D" w:rsidRDefault="00D4483D" w:rsidP="001170BA">
      <w:pPr>
        <w:pStyle w:val="ListParagraph"/>
        <w:numPr>
          <w:ilvl w:val="0"/>
          <w:numId w:val="37"/>
        </w:numPr>
        <w:jc w:val="both"/>
      </w:pPr>
      <w:r>
        <w:t>Mise en place d’une sectorisation des réseaux pour affiner la recherche de fuites</w:t>
      </w:r>
    </w:p>
    <w:p w:rsidR="00D4483D" w:rsidRDefault="00D4483D" w:rsidP="001170BA">
      <w:pPr>
        <w:pStyle w:val="ListParagraph"/>
        <w:numPr>
          <w:ilvl w:val="0"/>
          <w:numId w:val="37"/>
        </w:numPr>
        <w:jc w:val="both"/>
      </w:pPr>
      <w:r>
        <w:t>Création d’un outil de définition de la criticité des canalisations afin de pouvoir hiérarchiser les tronçons nécessitant un renouvellement</w:t>
      </w:r>
    </w:p>
    <w:p w:rsidR="00D4483D" w:rsidRDefault="00D4483D" w:rsidP="001170BA">
      <w:pPr>
        <w:pStyle w:val="ListParagraph"/>
        <w:numPr>
          <w:ilvl w:val="0"/>
          <w:numId w:val="37"/>
        </w:numPr>
        <w:jc w:val="both"/>
      </w:pPr>
      <w:r>
        <w:t xml:space="preserve">Mise à jour de la modélisation hydraulique des réseaux </w:t>
      </w:r>
    </w:p>
    <w:p w:rsidR="00D4483D" w:rsidRPr="00BB587E" w:rsidRDefault="00D4483D" w:rsidP="00F424FB">
      <w:pPr>
        <w:jc w:val="both"/>
        <w:rPr>
          <w:highlight w:val="yellow"/>
        </w:rPr>
      </w:pPr>
    </w:p>
    <w:p w:rsidR="00D4483D" w:rsidRPr="00B13047" w:rsidRDefault="00D4483D" w:rsidP="00F424FB">
      <w:pPr>
        <w:jc w:val="both"/>
      </w:pPr>
      <w:r w:rsidRPr="00B13047">
        <w:t>Concernant la préparation de la fin d</w:t>
      </w:r>
      <w:r>
        <w:t>u</w:t>
      </w:r>
      <w:r w:rsidRPr="00B13047">
        <w:t xml:space="preserve"> contrat actuel :</w:t>
      </w:r>
    </w:p>
    <w:p w:rsidR="00D4483D" w:rsidRPr="00B13047" w:rsidRDefault="00D4483D" w:rsidP="00F424FB">
      <w:pPr>
        <w:jc w:val="both"/>
      </w:pPr>
    </w:p>
    <w:p w:rsidR="00D4483D" w:rsidRDefault="00D4483D" w:rsidP="00F434FA">
      <w:pPr>
        <w:pStyle w:val="ListParagraph"/>
        <w:numPr>
          <w:ilvl w:val="0"/>
          <w:numId w:val="23"/>
        </w:numPr>
        <w:jc w:val="both"/>
      </w:pPr>
      <w:r w:rsidRPr="00B13047">
        <w:t xml:space="preserve">Il est noté un écart </w:t>
      </w:r>
      <w:r w:rsidRPr="00B13047">
        <w:rPr>
          <w:u w:val="single"/>
        </w:rPr>
        <w:t>disproportionné</w:t>
      </w:r>
      <w:r w:rsidRPr="00B13047">
        <w:t xml:space="preserve"> entre les montants provisionnés par le Délégataire sur le renouvellement et ses dépenses réelles. </w:t>
      </w:r>
      <w:r>
        <w:t>Y compris les années 2013 et 2014, le Délégataire dispose d’une enveloppe financière de 179 k€ pour la réalisation de travaux de renouvellement dans le cadre du contrat actuel. Compte tenu de l’ampleur des travaux restant à réaliser sur les branchements plomb, la Ville pourrait étudier avec le Délégataire, en charge contractuellement du remplacement des branchements, la programmation de tels travaux d’ici la fin du contrat.</w:t>
      </w:r>
    </w:p>
    <w:p w:rsidR="00D4483D" w:rsidRDefault="00D4483D" w:rsidP="00B13047">
      <w:pPr>
        <w:pStyle w:val="ListParagraph"/>
        <w:ind w:left="568"/>
        <w:jc w:val="both"/>
      </w:pPr>
    </w:p>
    <w:p w:rsidR="00D4483D" w:rsidRDefault="00D4483D" w:rsidP="00F434FA">
      <w:pPr>
        <w:pStyle w:val="ListParagraph"/>
        <w:numPr>
          <w:ilvl w:val="0"/>
          <w:numId w:val="23"/>
        </w:numPr>
        <w:jc w:val="both"/>
      </w:pPr>
      <w:r w:rsidRPr="00B02AFD">
        <w:t xml:space="preserve">La valeur de rachat du parc compteurs reste à </w:t>
      </w:r>
      <w:r>
        <w:t>convenir</w:t>
      </w:r>
      <w:r w:rsidRPr="00B02AFD">
        <w:t>.</w:t>
      </w:r>
    </w:p>
    <w:p w:rsidR="00D4483D" w:rsidRDefault="00D4483D" w:rsidP="00B02AFD">
      <w:pPr>
        <w:pStyle w:val="ListParagraph"/>
      </w:pPr>
    </w:p>
    <w:p w:rsidR="00D4483D" w:rsidRDefault="00D4483D" w:rsidP="00B02AFD">
      <w:pPr>
        <w:jc w:val="both"/>
      </w:pPr>
    </w:p>
    <w:p w:rsidR="00D4483D" w:rsidRDefault="00D4483D" w:rsidP="00B02AFD">
      <w:pPr>
        <w:jc w:val="both"/>
      </w:pPr>
      <w:r>
        <w:t xml:space="preserve">En complément des éléments évoqués dans la présente synthèse (en cas d’externalisation du service le cas échéant), les points d’amélioration envisageables sont les suivants : </w:t>
      </w:r>
    </w:p>
    <w:p w:rsidR="00D4483D" w:rsidRDefault="00D4483D" w:rsidP="00B02AFD">
      <w:pPr>
        <w:jc w:val="both"/>
      </w:pPr>
    </w:p>
    <w:p w:rsidR="00D4483D" w:rsidRPr="002C64BD" w:rsidRDefault="00D4483D" w:rsidP="002C64BD">
      <w:pPr>
        <w:pStyle w:val="ListParagraph"/>
        <w:numPr>
          <w:ilvl w:val="0"/>
          <w:numId w:val="23"/>
        </w:numPr>
        <w:jc w:val="both"/>
      </w:pPr>
      <w:r w:rsidRPr="002C64BD">
        <w:t xml:space="preserve">Définition d’un </w:t>
      </w:r>
      <w:r w:rsidRPr="002C64BD">
        <w:rPr>
          <w:u w:val="single"/>
        </w:rPr>
        <w:t>engagement de résultat sur le rendement/l’indice linéaire de pertes</w:t>
      </w:r>
      <w:r>
        <w:rPr>
          <w:u w:val="single"/>
        </w:rPr>
        <w:t>,</w:t>
      </w:r>
    </w:p>
    <w:p w:rsidR="00D4483D" w:rsidRDefault="00D4483D" w:rsidP="00B02AFD">
      <w:pPr>
        <w:jc w:val="both"/>
      </w:pPr>
    </w:p>
    <w:p w:rsidR="00D4483D" w:rsidRDefault="00D4483D" w:rsidP="00B02AFD">
      <w:pPr>
        <w:jc w:val="both"/>
      </w:pPr>
    </w:p>
    <w:p w:rsidR="00D4483D" w:rsidRDefault="00D4483D" w:rsidP="002C64BD">
      <w:pPr>
        <w:pStyle w:val="ListParagraph"/>
        <w:numPr>
          <w:ilvl w:val="0"/>
          <w:numId w:val="23"/>
        </w:numPr>
        <w:jc w:val="both"/>
      </w:pPr>
      <w:r>
        <w:rPr>
          <w:u w:val="single"/>
        </w:rPr>
        <w:t>Déclaration des ouvrages d’eau potable</w:t>
      </w:r>
      <w:r>
        <w:t> auprès du Guichet Unique ; réalisation de la géolocalisation des réseaux.</w:t>
      </w:r>
    </w:p>
    <w:p w:rsidR="00D4483D" w:rsidRPr="002C64BD" w:rsidRDefault="00D4483D" w:rsidP="002C64BD">
      <w:pPr>
        <w:jc w:val="both"/>
      </w:pPr>
    </w:p>
    <w:p w:rsidR="00D4483D" w:rsidRDefault="00D4483D" w:rsidP="00803FC6">
      <w:pPr>
        <w:pStyle w:val="ListParagraph"/>
        <w:numPr>
          <w:ilvl w:val="0"/>
          <w:numId w:val="23"/>
        </w:numPr>
        <w:jc w:val="both"/>
      </w:pPr>
      <w:r w:rsidRPr="000036E5">
        <w:rPr>
          <w:u w:val="single"/>
        </w:rPr>
        <w:t>Suivi d</w:t>
      </w:r>
      <w:r>
        <w:rPr>
          <w:u w:val="single"/>
        </w:rPr>
        <w:t>u</w:t>
      </w:r>
      <w:r w:rsidRPr="000036E5">
        <w:rPr>
          <w:u w:val="single"/>
        </w:rPr>
        <w:t xml:space="preserve"> contrat</w:t>
      </w:r>
      <w:r>
        <w:t> : Création d’outils de pilotage pour l’amélioration des échanges Collectivité/Délégataire : mise en place d’une plateforme d’échange documentaire, dont tableaux de bord, accès au SIG ; constitution d’un comité de pilotage.</w:t>
      </w:r>
    </w:p>
    <w:p w:rsidR="00D4483D" w:rsidRDefault="00D4483D" w:rsidP="00B02AFD">
      <w:pPr>
        <w:jc w:val="both"/>
      </w:pPr>
    </w:p>
    <w:p w:rsidR="00D4483D" w:rsidRDefault="00D4483D" w:rsidP="00803FC6">
      <w:pPr>
        <w:pStyle w:val="ListParagraph"/>
        <w:numPr>
          <w:ilvl w:val="0"/>
          <w:numId w:val="23"/>
        </w:numPr>
        <w:jc w:val="both"/>
      </w:pPr>
      <w:r w:rsidRPr="00304079">
        <w:rPr>
          <w:u w:val="single"/>
        </w:rPr>
        <w:t>Renouvellement</w:t>
      </w:r>
      <w:r>
        <w:t> : Mise en place d’un mécanisme de suivi financier des dépenses de renouvellement nécessaire pour en assurer un meilleur équilibre.</w:t>
      </w:r>
    </w:p>
    <w:p w:rsidR="00D4483D" w:rsidRDefault="00D4483D">
      <w:pPr>
        <w:ind w:left="568"/>
        <w:jc w:val="both"/>
      </w:pPr>
    </w:p>
    <w:p w:rsidR="00D4483D" w:rsidRDefault="00D4483D">
      <w:pPr>
        <w:jc w:val="both"/>
      </w:pPr>
      <w:r>
        <w:t>A obligations constantes, une baisse de prix devrait intervenir, qui devrait être affectée au financement partiel des améliorations ainsi recensées.</w:t>
      </w:r>
    </w:p>
    <w:p w:rsidR="00D4483D" w:rsidRDefault="00D4483D">
      <w:pPr>
        <w:jc w:val="both"/>
      </w:pPr>
    </w:p>
    <w:p w:rsidR="00D4483D" w:rsidRDefault="00D4483D">
      <w:pPr>
        <w:jc w:val="both"/>
      </w:pPr>
      <w:r>
        <w:t xml:space="preserve">La mise en place de la </w:t>
      </w:r>
      <w:r w:rsidRPr="007127F5">
        <w:rPr>
          <w:u w:val="single"/>
        </w:rPr>
        <w:t>radio-relève</w:t>
      </w:r>
      <w:r>
        <w:t xml:space="preserve"> des compteurs (passage à proximité) ou de la </w:t>
      </w:r>
      <w:r w:rsidRPr="007127F5">
        <w:rPr>
          <w:u w:val="single"/>
        </w:rPr>
        <w:t>télérelève</w:t>
      </w:r>
      <w:r>
        <w:t xml:space="preserve"> des compteurs (relevé en continu) pourrait également être envisagé mais risquerait d’alourdir plus encore le prix de l’eau, sans qu’il ne s’agisse d’un élément déterminant pour l’améliroation du rendement de réseau, puisqu’un niveau très satisfaisant a été atteint dans un passé récent sans disposer de tels moyens.</w:t>
      </w:r>
    </w:p>
    <w:p w:rsidR="00D4483D" w:rsidRDefault="00D4483D">
      <w:pPr>
        <w:jc w:val="both"/>
      </w:pPr>
    </w:p>
    <w:p w:rsidR="00D4483D" w:rsidRDefault="00D4483D">
      <w:pPr>
        <w:jc w:val="both"/>
      </w:pPr>
      <w:r>
        <w:t>Enfin, une convention pourrait être établie avec la Commune de La Rochette relative à l’interconnexion de secours afin d’en déterminer les conditions d’utilisation. La question d’une mise en commun de ressources pourrait alors être évoquée, qui pourrait permettre d’abandonner les forages de la Ville chargés en pesticides, et réduire ainsi les coûts d’exploitation du service</w:t>
      </w:r>
      <w:r w:rsidRPr="007127F5">
        <w:rPr>
          <w:i/>
        </w:rPr>
        <w:t>,</w:t>
      </w:r>
    </w:p>
    <w:p w:rsidR="00D4483D" w:rsidRPr="00B02AFD" w:rsidRDefault="00D4483D" w:rsidP="00B02AFD">
      <w:pPr>
        <w:jc w:val="both"/>
      </w:pPr>
    </w:p>
    <w:sectPr w:rsidR="00D4483D" w:rsidRPr="00B02AFD" w:rsidSect="00766CA8">
      <w:footerReference w:type="default" r:id="rId2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83D" w:rsidRDefault="00D4483D" w:rsidP="00946EB4">
      <w:r>
        <w:separator/>
      </w:r>
    </w:p>
  </w:endnote>
  <w:endnote w:type="continuationSeparator" w:id="0">
    <w:p w:rsidR="00D4483D" w:rsidRDefault="00D4483D" w:rsidP="00946E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83D" w:rsidRDefault="00D4483D" w:rsidP="00A11D3E">
    <w:pPr>
      <w:pStyle w:val="Adressedelexpditeur"/>
      <w:pBdr>
        <w:top w:val="dotted" w:sz="12" w:space="1" w:color="auto"/>
      </w:pBdr>
      <w:ind w:left="0" w:right="-2"/>
      <w:jc w:val="center"/>
      <w:rPr>
        <w:b/>
        <w:bCs/>
        <w:noProof w:val="0"/>
        <w:color w:val="000000"/>
        <w:lang w:val="fr-FR"/>
      </w:rPr>
    </w:pPr>
    <w:bookmarkStart w:id="1" w:name="ADDRESS"/>
    <w:r>
      <w:rPr>
        <w:b/>
        <w:bCs/>
        <w:noProof w:val="0"/>
        <w:color w:val="000000"/>
        <w:lang w:val="fr-FR"/>
      </w:rPr>
      <w:t>Société à Responsabilité Limitée au capital de 39 609 €</w:t>
    </w:r>
  </w:p>
  <w:p w:rsidR="00D4483D" w:rsidRDefault="00D4483D" w:rsidP="00A11D3E">
    <w:pPr>
      <w:pStyle w:val="Adressedelexpditeur"/>
      <w:pBdr>
        <w:top w:val="dotted" w:sz="12" w:space="1" w:color="auto"/>
      </w:pBdr>
      <w:ind w:left="0" w:right="-2"/>
      <w:jc w:val="center"/>
      <w:rPr>
        <w:b/>
        <w:bCs/>
        <w:noProof w:val="0"/>
        <w:color w:val="000000"/>
        <w:lang w:val="fr-FR"/>
      </w:rPr>
    </w:pPr>
    <w:r>
      <w:rPr>
        <w:b/>
        <w:bCs/>
        <w:noProof w:val="0"/>
        <w:color w:val="000000"/>
        <w:lang w:val="fr-FR"/>
      </w:rPr>
      <w:t>38 rue Jean Jaurès – 92800 Puteaux</w:t>
    </w:r>
  </w:p>
  <w:p w:rsidR="00D4483D" w:rsidRDefault="00D4483D" w:rsidP="00A11D3E">
    <w:pPr>
      <w:pStyle w:val="Adressedelexpditeur"/>
      <w:ind w:left="0" w:right="-2"/>
      <w:jc w:val="center"/>
      <w:rPr>
        <w:b/>
        <w:bCs/>
        <w:noProof w:val="0"/>
        <w:color w:val="000000"/>
        <w:lang w:val="fr-FR"/>
      </w:rPr>
    </w:pPr>
    <w:bookmarkStart w:id="2" w:name="EMAIL"/>
    <w:bookmarkEnd w:id="1"/>
    <w:r>
      <w:rPr>
        <w:b/>
        <w:bCs/>
        <w:noProof w:val="0"/>
        <w:color w:val="000000"/>
        <w:lang w:val="fr-FR"/>
      </w:rPr>
      <w:t xml:space="preserve">Téléphone : </w:t>
    </w:r>
    <w:bookmarkStart w:id="3" w:name="PHONE"/>
    <w:r>
      <w:rPr>
        <w:b/>
        <w:bCs/>
        <w:noProof w:val="0"/>
        <w:color w:val="000000"/>
        <w:lang w:val="fr-FR"/>
      </w:rPr>
      <w:t>01 55 47 02 49 - Fax : 01 47 14 11 76</w:t>
    </w:r>
    <w:bookmarkEnd w:id="3"/>
  </w:p>
  <w:p w:rsidR="00D4483D" w:rsidRPr="00A11D3E" w:rsidRDefault="00D4483D" w:rsidP="00A11D3E">
    <w:pPr>
      <w:pStyle w:val="Adressedelexpditeur"/>
      <w:ind w:left="0" w:right="-2"/>
      <w:jc w:val="center"/>
      <w:rPr>
        <w:szCs w:val="14"/>
      </w:rPr>
    </w:pPr>
    <w:r>
      <w:rPr>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2049" type="#_x0000_t75" style="position:absolute;left:0;text-align:left;margin-left:356.15pt;margin-top:-36.2pt;width:117pt;height:54.5pt;z-index:-251656192;visibility:visible">
          <v:imagedata r:id="rId1" o:title=""/>
        </v:shape>
      </w:pict>
    </w:r>
    <w:bookmarkEnd w:id="2"/>
    <w:r w:rsidRPr="001030B4">
      <w:rPr>
        <w:b/>
        <w:bCs/>
        <w:noProof w:val="0"/>
        <w:color w:val="000000"/>
        <w:lang w:val="fr-FR"/>
      </w:rPr>
      <w:t>RCS Nanterre 450 775</w:t>
    </w:r>
    <w:r>
      <w:rPr>
        <w:b/>
        <w:bCs/>
        <w:noProof w:val="0"/>
        <w:color w:val="000000"/>
        <w:lang w:val="fr-FR"/>
      </w:rPr>
      <w:t> </w:t>
    </w:r>
    <w:r w:rsidRPr="001030B4">
      <w:rPr>
        <w:b/>
        <w:bCs/>
        <w:noProof w:val="0"/>
        <w:color w:val="000000"/>
        <w:lang w:val="fr-FR"/>
      </w:rPr>
      <w:t>366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83D" w:rsidRPr="00322431" w:rsidRDefault="00D4483D" w:rsidP="00766CA8">
    <w:pPr>
      <w:pStyle w:val="Footer"/>
      <w:pBdr>
        <w:top w:val="single" w:sz="4" w:space="1" w:color="auto"/>
      </w:pBdr>
      <w:rPr>
        <w:b/>
        <w:i/>
        <w:sz w:val="20"/>
        <w:szCs w:val="20"/>
        <w:u w:val="single"/>
      </w:rPr>
    </w:pPr>
    <w:r>
      <w:rPr>
        <w:sz w:val="20"/>
        <w:szCs w:val="20"/>
      </w:rPr>
      <w:t>Ville de Bois-le-Roi – Bilan technique et financier – Eau potable</w:t>
    </w:r>
    <w:r>
      <w:rPr>
        <w:sz w:val="20"/>
        <w:szCs w:val="20"/>
      </w:rPr>
      <w:tab/>
    </w:r>
    <w:r w:rsidRPr="001D60F8">
      <w:rPr>
        <w:sz w:val="20"/>
        <w:szCs w:val="20"/>
      </w:rPr>
      <w:t xml:space="preserve">Page </w:t>
    </w:r>
    <w:r w:rsidRPr="001D60F8">
      <w:rPr>
        <w:sz w:val="20"/>
        <w:szCs w:val="20"/>
      </w:rPr>
      <w:fldChar w:fldCharType="begin"/>
    </w:r>
    <w:r w:rsidRPr="001D60F8">
      <w:rPr>
        <w:sz w:val="20"/>
        <w:szCs w:val="20"/>
      </w:rPr>
      <w:instrText xml:space="preserve"> PAGE </w:instrText>
    </w:r>
    <w:r w:rsidRPr="001D60F8">
      <w:rPr>
        <w:sz w:val="20"/>
        <w:szCs w:val="20"/>
      </w:rPr>
      <w:fldChar w:fldCharType="separate"/>
    </w:r>
    <w:r>
      <w:rPr>
        <w:noProof/>
        <w:sz w:val="20"/>
        <w:szCs w:val="20"/>
      </w:rPr>
      <w:t>2</w:t>
    </w:r>
    <w:r w:rsidRPr="001D60F8">
      <w:rPr>
        <w:sz w:val="20"/>
        <w:szCs w:val="20"/>
      </w:rPr>
      <w:fldChar w:fldCharType="end"/>
    </w:r>
    <w:r w:rsidRPr="001D60F8">
      <w:rPr>
        <w:sz w:val="20"/>
        <w:szCs w:val="20"/>
      </w:rPr>
      <w:t xml:space="preserve"> sur </w:t>
    </w:r>
    <w:r w:rsidRPr="001D60F8">
      <w:rPr>
        <w:sz w:val="20"/>
        <w:szCs w:val="20"/>
      </w:rPr>
      <w:fldChar w:fldCharType="begin"/>
    </w:r>
    <w:r w:rsidRPr="001D60F8">
      <w:rPr>
        <w:sz w:val="20"/>
        <w:szCs w:val="20"/>
      </w:rPr>
      <w:instrText xml:space="preserve"> NUMPAGES </w:instrText>
    </w:r>
    <w:r w:rsidRPr="001D60F8">
      <w:rPr>
        <w:sz w:val="20"/>
        <w:szCs w:val="20"/>
      </w:rPr>
      <w:fldChar w:fldCharType="separate"/>
    </w:r>
    <w:r>
      <w:rPr>
        <w:noProof/>
        <w:sz w:val="20"/>
        <w:szCs w:val="20"/>
      </w:rPr>
      <w:t>27</w:t>
    </w:r>
    <w:r w:rsidRPr="001D60F8">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83D" w:rsidRPr="00322431" w:rsidRDefault="00D4483D" w:rsidP="007171F8">
    <w:pPr>
      <w:pStyle w:val="Footer"/>
      <w:pBdr>
        <w:top w:val="single" w:sz="4" w:space="1" w:color="auto"/>
      </w:pBdr>
      <w:tabs>
        <w:tab w:val="clear" w:pos="9072"/>
        <w:tab w:val="right" w:pos="13892"/>
      </w:tabs>
      <w:rPr>
        <w:b/>
        <w:i/>
        <w:sz w:val="20"/>
        <w:szCs w:val="20"/>
        <w:u w:val="single"/>
      </w:rPr>
    </w:pPr>
    <w:r>
      <w:rPr>
        <w:sz w:val="20"/>
        <w:szCs w:val="20"/>
      </w:rPr>
      <w:t>Ville de Bois-le-Roi – Bilan technique et financier – Eau potable</w:t>
    </w:r>
    <w:r>
      <w:rPr>
        <w:sz w:val="20"/>
        <w:szCs w:val="20"/>
      </w:rPr>
      <w:tab/>
    </w:r>
    <w:r w:rsidRPr="001D60F8">
      <w:rPr>
        <w:sz w:val="20"/>
        <w:szCs w:val="20"/>
      </w:rPr>
      <w:t xml:space="preserve">Page </w:t>
    </w:r>
    <w:r w:rsidRPr="001D60F8">
      <w:rPr>
        <w:sz w:val="20"/>
        <w:szCs w:val="20"/>
      </w:rPr>
      <w:fldChar w:fldCharType="begin"/>
    </w:r>
    <w:r w:rsidRPr="001D60F8">
      <w:rPr>
        <w:sz w:val="20"/>
        <w:szCs w:val="20"/>
      </w:rPr>
      <w:instrText xml:space="preserve"> PAGE </w:instrText>
    </w:r>
    <w:r w:rsidRPr="001D60F8">
      <w:rPr>
        <w:sz w:val="20"/>
        <w:szCs w:val="20"/>
      </w:rPr>
      <w:fldChar w:fldCharType="separate"/>
    </w:r>
    <w:r>
      <w:rPr>
        <w:noProof/>
        <w:sz w:val="20"/>
        <w:szCs w:val="20"/>
      </w:rPr>
      <w:t>23</w:t>
    </w:r>
    <w:r w:rsidRPr="001D60F8">
      <w:rPr>
        <w:sz w:val="20"/>
        <w:szCs w:val="20"/>
      </w:rPr>
      <w:fldChar w:fldCharType="end"/>
    </w:r>
    <w:r w:rsidRPr="001D60F8">
      <w:rPr>
        <w:sz w:val="20"/>
        <w:szCs w:val="20"/>
      </w:rPr>
      <w:t xml:space="preserve"> sur </w:t>
    </w:r>
    <w:r w:rsidRPr="001D60F8">
      <w:rPr>
        <w:sz w:val="20"/>
        <w:szCs w:val="20"/>
      </w:rPr>
      <w:fldChar w:fldCharType="begin"/>
    </w:r>
    <w:r w:rsidRPr="001D60F8">
      <w:rPr>
        <w:sz w:val="20"/>
        <w:szCs w:val="20"/>
      </w:rPr>
      <w:instrText xml:space="preserve"> NUMPAGES </w:instrText>
    </w:r>
    <w:r w:rsidRPr="001D60F8">
      <w:rPr>
        <w:sz w:val="20"/>
        <w:szCs w:val="20"/>
      </w:rPr>
      <w:fldChar w:fldCharType="separate"/>
    </w:r>
    <w:r>
      <w:rPr>
        <w:noProof/>
        <w:sz w:val="20"/>
        <w:szCs w:val="20"/>
      </w:rPr>
      <w:t>27</w:t>
    </w:r>
    <w:r w:rsidRPr="001D60F8">
      <w:rPr>
        <w:sz w:val="20"/>
        <w:szCs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83D" w:rsidRPr="00322431" w:rsidRDefault="00D4483D" w:rsidP="00766CA8">
    <w:pPr>
      <w:pStyle w:val="Footer"/>
      <w:pBdr>
        <w:top w:val="single" w:sz="4" w:space="1" w:color="auto"/>
      </w:pBdr>
      <w:rPr>
        <w:b/>
        <w:i/>
        <w:sz w:val="20"/>
        <w:szCs w:val="20"/>
        <w:u w:val="single"/>
      </w:rPr>
    </w:pPr>
    <w:r>
      <w:rPr>
        <w:sz w:val="20"/>
        <w:szCs w:val="20"/>
      </w:rPr>
      <w:t>Ville de Bois-le-Roi – Bilan technique et financier – Eau potable</w:t>
    </w:r>
    <w:r>
      <w:rPr>
        <w:sz w:val="20"/>
        <w:szCs w:val="20"/>
      </w:rPr>
      <w:tab/>
    </w:r>
    <w:r w:rsidRPr="001D60F8">
      <w:rPr>
        <w:sz w:val="20"/>
        <w:szCs w:val="20"/>
      </w:rPr>
      <w:t xml:space="preserve">Page </w:t>
    </w:r>
    <w:r w:rsidRPr="001D60F8">
      <w:rPr>
        <w:sz w:val="20"/>
        <w:szCs w:val="20"/>
      </w:rPr>
      <w:fldChar w:fldCharType="begin"/>
    </w:r>
    <w:r w:rsidRPr="001D60F8">
      <w:rPr>
        <w:sz w:val="20"/>
        <w:szCs w:val="20"/>
      </w:rPr>
      <w:instrText xml:space="preserve"> PAGE </w:instrText>
    </w:r>
    <w:r w:rsidRPr="001D60F8">
      <w:rPr>
        <w:sz w:val="20"/>
        <w:szCs w:val="20"/>
      </w:rPr>
      <w:fldChar w:fldCharType="separate"/>
    </w:r>
    <w:r>
      <w:rPr>
        <w:noProof/>
        <w:sz w:val="20"/>
        <w:szCs w:val="20"/>
      </w:rPr>
      <w:t>24</w:t>
    </w:r>
    <w:r w:rsidRPr="001D60F8">
      <w:rPr>
        <w:sz w:val="20"/>
        <w:szCs w:val="20"/>
      </w:rPr>
      <w:fldChar w:fldCharType="end"/>
    </w:r>
    <w:r w:rsidRPr="001D60F8">
      <w:rPr>
        <w:sz w:val="20"/>
        <w:szCs w:val="20"/>
      </w:rPr>
      <w:t xml:space="preserve"> sur </w:t>
    </w:r>
    <w:r w:rsidRPr="001D60F8">
      <w:rPr>
        <w:sz w:val="20"/>
        <w:szCs w:val="20"/>
      </w:rPr>
      <w:fldChar w:fldCharType="begin"/>
    </w:r>
    <w:r w:rsidRPr="001D60F8">
      <w:rPr>
        <w:sz w:val="20"/>
        <w:szCs w:val="20"/>
      </w:rPr>
      <w:instrText xml:space="preserve"> NUMPAGES </w:instrText>
    </w:r>
    <w:r w:rsidRPr="001D60F8">
      <w:rPr>
        <w:sz w:val="20"/>
        <w:szCs w:val="20"/>
      </w:rPr>
      <w:fldChar w:fldCharType="separate"/>
    </w:r>
    <w:r>
      <w:rPr>
        <w:noProof/>
        <w:sz w:val="20"/>
        <w:szCs w:val="20"/>
      </w:rPr>
      <w:t>27</w:t>
    </w:r>
    <w:r w:rsidRPr="001D60F8">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83D" w:rsidRDefault="00D4483D" w:rsidP="00946EB4">
      <w:r>
        <w:separator/>
      </w:r>
    </w:p>
  </w:footnote>
  <w:footnote w:type="continuationSeparator" w:id="0">
    <w:p w:rsidR="00D4483D" w:rsidRDefault="00D4483D" w:rsidP="00946EB4">
      <w:r>
        <w:continuationSeparator/>
      </w:r>
    </w:p>
  </w:footnote>
  <w:footnote w:id="1">
    <w:p w:rsidR="00D4483D" w:rsidRDefault="00D4483D" w:rsidP="00A06DB1">
      <w:pPr>
        <w:pStyle w:val="FootnoteText"/>
      </w:pPr>
      <w:r>
        <w:rPr>
          <w:rStyle w:val="FootnoteReference"/>
        </w:rPr>
        <w:footnoteRef/>
      </w:r>
      <w:r>
        <w:t xml:space="preserve"> Article L. 2224-7-1 du CGCT  </w:t>
      </w:r>
    </w:p>
  </w:footnote>
  <w:footnote w:id="2">
    <w:p w:rsidR="00D4483D" w:rsidRDefault="00D4483D" w:rsidP="000775E3">
      <w:pPr>
        <w:pStyle w:val="FootnoteText"/>
      </w:pPr>
      <w:r>
        <w:rPr>
          <w:rStyle w:val="FootnoteReference"/>
        </w:rPr>
        <w:footnoteRef/>
      </w:r>
      <w:r>
        <w:t xml:space="preserve"> Arrêté du 6 mars 2007 relatif au contrôle des compteurs d’eau froide en service</w:t>
      </w:r>
    </w:p>
  </w:footnote>
  <w:footnote w:id="3">
    <w:p w:rsidR="00D4483D" w:rsidRDefault="00D4483D" w:rsidP="0054374A">
      <w:pPr>
        <w:pStyle w:val="FootnoteText"/>
      </w:pPr>
      <w:r>
        <w:rPr>
          <w:rStyle w:val="FootnoteReference"/>
        </w:rPr>
        <w:footnoteRef/>
      </w:r>
      <w:r>
        <w:t xml:space="preserve"> La loi n°2012-1510 du 29 décembre 2012 de finances rectificative pour 2012 a modifié les dispositions de l’article 278-0 bis du Code Général des Impôts pour porter le taux réduit de TVA sur la fourniture d’eau de 5,5% à 5%, </w:t>
      </w:r>
      <w:r w:rsidRPr="00636618">
        <w:rPr>
          <w:b/>
        </w:rPr>
        <w:t>à compter du 1</w:t>
      </w:r>
      <w:r w:rsidRPr="00636618">
        <w:rPr>
          <w:b/>
          <w:vertAlign w:val="superscript"/>
        </w:rPr>
        <w:t>er</w:t>
      </w:r>
      <w:r w:rsidRPr="00636618">
        <w:rPr>
          <w:b/>
        </w:rPr>
        <w:t xml:space="preserve"> janvier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83D" w:rsidRDefault="00D4483D" w:rsidP="00015140">
    <w:pPr>
      <w:pStyle w:val="Expditeur"/>
      <w:pBdr>
        <w:bottom w:val="none" w:sz="0" w:space="0" w:color="auto"/>
      </w:pBdr>
      <w:ind w:left="0" w:right="3"/>
      <w:rPr>
        <w:b/>
        <w:bCs/>
        <w:noProof w:val="0"/>
        <w:color w:val="000000"/>
        <w:lang w:val="fr-FR" w:eastAsia="en-US"/>
      </w:rPr>
    </w:pPr>
    <w:r>
      <w:rPr>
        <w:b/>
        <w:bCs/>
        <w:noProof w:val="0"/>
        <w:color w:val="000000"/>
        <w:lang w:val="fr-FR" w:eastAsia="en-US"/>
      </w:rPr>
      <w:t>Jean-RaphaEl BERT</w:t>
    </w:r>
  </w:p>
  <w:p w:rsidR="00D4483D" w:rsidRDefault="00D4483D" w:rsidP="00015140">
    <w:pPr>
      <w:pStyle w:val="Expditeur"/>
      <w:pBdr>
        <w:bottom w:val="dotted" w:sz="12" w:space="1" w:color="000000"/>
      </w:pBdr>
      <w:ind w:left="0" w:right="3"/>
      <w:rPr>
        <w:b/>
        <w:bCs/>
        <w:noProof w:val="0"/>
        <w:color w:val="000000"/>
        <w:lang w:val="fr-FR" w:eastAsia="en-US"/>
      </w:rPr>
    </w:pPr>
    <w:r>
      <w:rPr>
        <w:b/>
        <w:bCs/>
        <w:noProof w:val="0"/>
        <w:color w:val="000000"/>
        <w:lang w:val="fr-FR" w:eastAsia="en-US"/>
      </w:rPr>
      <w:t>Consultant</w:t>
    </w:r>
  </w:p>
  <w:p w:rsidR="00D4483D" w:rsidRDefault="00D448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83D" w:rsidRDefault="00D4483D" w:rsidP="00015140">
    <w:pPr>
      <w:pStyle w:val="Expditeur"/>
      <w:pBdr>
        <w:bottom w:val="dotted" w:sz="4" w:space="1" w:color="auto"/>
      </w:pBdr>
      <w:ind w:left="0" w:right="71"/>
      <w:rPr>
        <w:b/>
        <w:bCs/>
        <w:noProof w:val="0"/>
        <w:color w:val="000000"/>
        <w:sz w:val="20"/>
        <w:szCs w:val="20"/>
        <w:lang w:val="fr-FR" w:eastAsia="en-US"/>
      </w:rPr>
    </w:pPr>
    <w:r w:rsidRPr="00D66205">
      <w:rPr>
        <w:b/>
        <w:bCs/>
        <w:noProof w:val="0"/>
        <w:color w:val="000000"/>
        <w:sz w:val="20"/>
        <w:szCs w:val="20"/>
        <w:lang w:val="fr-FR" w:eastAsia="en-US"/>
      </w:rPr>
      <w:t>Jean-RaphaEl BERT</w:t>
    </w:r>
  </w:p>
  <w:p w:rsidR="00D4483D" w:rsidRPr="00D66205" w:rsidRDefault="00D4483D" w:rsidP="00015140">
    <w:pPr>
      <w:pStyle w:val="Expditeur"/>
      <w:pBdr>
        <w:bottom w:val="dotted" w:sz="4" w:space="1" w:color="auto"/>
      </w:pBdr>
      <w:ind w:left="0" w:right="71"/>
      <w:rPr>
        <w:b/>
        <w:bCs/>
        <w:noProof w:val="0"/>
        <w:color w:val="000000"/>
        <w:sz w:val="20"/>
        <w:szCs w:val="20"/>
        <w:lang w:val="fr-FR" w:eastAsia="en-US"/>
      </w:rPr>
    </w:pPr>
    <w:r>
      <w:rPr>
        <w:b/>
        <w:bCs/>
        <w:noProof w:val="0"/>
        <w:color w:val="000000"/>
        <w:sz w:val="20"/>
        <w:szCs w:val="20"/>
        <w:lang w:val="fr-FR" w:eastAsia="en-US"/>
      </w:rPr>
      <w:t>consultant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4E85ACE"/>
    <w:lvl w:ilvl="0">
      <w:start w:val="1"/>
      <w:numFmt w:val="bullet"/>
      <w:lvlText w:val=""/>
      <w:lvlJc w:val="left"/>
      <w:pPr>
        <w:tabs>
          <w:tab w:val="num" w:pos="360"/>
        </w:tabs>
        <w:ind w:left="360" w:hanging="360"/>
      </w:pPr>
      <w:rPr>
        <w:rFonts w:ascii="Symbol" w:hAnsi="Symbol" w:hint="default"/>
      </w:rPr>
    </w:lvl>
  </w:abstractNum>
  <w:abstractNum w:abstractNumId="1">
    <w:nsid w:val="06AC2CA2"/>
    <w:multiLevelType w:val="hybridMultilevel"/>
    <w:tmpl w:val="0EA8C0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0F4BF1"/>
    <w:multiLevelType w:val="hybridMultilevel"/>
    <w:tmpl w:val="67EA0B9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B7A0AAC"/>
    <w:multiLevelType w:val="hybridMultilevel"/>
    <w:tmpl w:val="3AD428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63E0564"/>
    <w:multiLevelType w:val="multilevel"/>
    <w:tmpl w:val="040C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215576B7"/>
    <w:multiLevelType w:val="hybridMultilevel"/>
    <w:tmpl w:val="3B76ACDC"/>
    <w:lvl w:ilvl="0" w:tplc="CF8CD74C">
      <w:numFmt w:val="bullet"/>
      <w:lvlText w:val="-"/>
      <w:lvlJc w:val="left"/>
      <w:pPr>
        <w:tabs>
          <w:tab w:val="num" w:pos="568"/>
        </w:tabs>
        <w:ind w:left="568" w:hanging="284"/>
      </w:pPr>
      <w:rPr>
        <w:rFonts w:ascii="Times New Roman" w:eastAsia="Times New Roman" w:hAnsi="Times New Roman" w:hint="default"/>
      </w:rPr>
    </w:lvl>
    <w:lvl w:ilvl="1" w:tplc="040C0001">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nsid w:val="22915C59"/>
    <w:multiLevelType w:val="hybridMultilevel"/>
    <w:tmpl w:val="30EE6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45055D3"/>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9ED195A"/>
    <w:multiLevelType w:val="hybridMultilevel"/>
    <w:tmpl w:val="033097F8"/>
    <w:lvl w:ilvl="0" w:tplc="040C0001">
      <w:start w:val="1"/>
      <w:numFmt w:val="bullet"/>
      <w:lvlText w:val=""/>
      <w:lvlJc w:val="left"/>
      <w:pPr>
        <w:ind w:left="720" w:hanging="360"/>
      </w:pPr>
      <w:rPr>
        <w:rFonts w:ascii="Symbol" w:hAnsi="Symbol" w:hint="default"/>
      </w:rPr>
    </w:lvl>
    <w:lvl w:ilvl="1" w:tplc="040C0003" w:tentative="1">
      <w:start w:val="1"/>
      <w:numFmt w:val="lowerLetter"/>
      <w:lvlText w:val="%2."/>
      <w:lvlJc w:val="left"/>
      <w:pPr>
        <w:ind w:left="1440" w:hanging="360"/>
      </w:pPr>
      <w:rPr>
        <w:rFonts w:cs="Times New Roman"/>
      </w:rPr>
    </w:lvl>
    <w:lvl w:ilvl="2" w:tplc="040C0005" w:tentative="1">
      <w:start w:val="1"/>
      <w:numFmt w:val="lowerRoman"/>
      <w:lvlText w:val="%3."/>
      <w:lvlJc w:val="right"/>
      <w:pPr>
        <w:ind w:left="2160" w:hanging="180"/>
      </w:pPr>
      <w:rPr>
        <w:rFonts w:cs="Times New Roman"/>
      </w:rPr>
    </w:lvl>
    <w:lvl w:ilvl="3" w:tplc="040C0001" w:tentative="1">
      <w:start w:val="1"/>
      <w:numFmt w:val="decimal"/>
      <w:lvlText w:val="%4."/>
      <w:lvlJc w:val="left"/>
      <w:pPr>
        <w:ind w:left="2880" w:hanging="360"/>
      </w:pPr>
      <w:rPr>
        <w:rFonts w:cs="Times New Roman"/>
      </w:rPr>
    </w:lvl>
    <w:lvl w:ilvl="4" w:tplc="040C0003" w:tentative="1">
      <w:start w:val="1"/>
      <w:numFmt w:val="lowerLetter"/>
      <w:lvlText w:val="%5."/>
      <w:lvlJc w:val="left"/>
      <w:pPr>
        <w:ind w:left="3600" w:hanging="360"/>
      </w:pPr>
      <w:rPr>
        <w:rFonts w:cs="Times New Roman"/>
      </w:rPr>
    </w:lvl>
    <w:lvl w:ilvl="5" w:tplc="040C0005" w:tentative="1">
      <w:start w:val="1"/>
      <w:numFmt w:val="lowerRoman"/>
      <w:lvlText w:val="%6."/>
      <w:lvlJc w:val="right"/>
      <w:pPr>
        <w:ind w:left="4320" w:hanging="180"/>
      </w:pPr>
      <w:rPr>
        <w:rFonts w:cs="Times New Roman"/>
      </w:rPr>
    </w:lvl>
    <w:lvl w:ilvl="6" w:tplc="040C0001" w:tentative="1">
      <w:start w:val="1"/>
      <w:numFmt w:val="decimal"/>
      <w:lvlText w:val="%7."/>
      <w:lvlJc w:val="left"/>
      <w:pPr>
        <w:ind w:left="5040" w:hanging="360"/>
      </w:pPr>
      <w:rPr>
        <w:rFonts w:cs="Times New Roman"/>
      </w:rPr>
    </w:lvl>
    <w:lvl w:ilvl="7" w:tplc="040C0003" w:tentative="1">
      <w:start w:val="1"/>
      <w:numFmt w:val="lowerLetter"/>
      <w:lvlText w:val="%8."/>
      <w:lvlJc w:val="left"/>
      <w:pPr>
        <w:ind w:left="5760" w:hanging="360"/>
      </w:pPr>
      <w:rPr>
        <w:rFonts w:cs="Times New Roman"/>
      </w:rPr>
    </w:lvl>
    <w:lvl w:ilvl="8" w:tplc="040C0005" w:tentative="1">
      <w:start w:val="1"/>
      <w:numFmt w:val="lowerRoman"/>
      <w:lvlText w:val="%9."/>
      <w:lvlJc w:val="right"/>
      <w:pPr>
        <w:ind w:left="6480" w:hanging="180"/>
      </w:pPr>
      <w:rPr>
        <w:rFonts w:cs="Times New Roman"/>
      </w:rPr>
    </w:lvl>
  </w:abstractNum>
  <w:abstractNum w:abstractNumId="9">
    <w:nsid w:val="2CD813B8"/>
    <w:multiLevelType w:val="multilevel"/>
    <w:tmpl w:val="040C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0">
    <w:nsid w:val="30D922F1"/>
    <w:multiLevelType w:val="hybridMultilevel"/>
    <w:tmpl w:val="77E86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87A65C2"/>
    <w:multiLevelType w:val="hybridMultilevel"/>
    <w:tmpl w:val="3C863ADA"/>
    <w:lvl w:ilvl="0" w:tplc="CF8CD74C">
      <w:numFmt w:val="bullet"/>
      <w:lvlText w:val="-"/>
      <w:lvlJc w:val="left"/>
      <w:pPr>
        <w:tabs>
          <w:tab w:val="num" w:pos="344"/>
        </w:tabs>
        <w:ind w:left="344" w:hanging="284"/>
      </w:pPr>
      <w:rPr>
        <w:rFonts w:ascii="Times New Roman" w:eastAsia="Times New Roman" w:hAnsi="Times New Roman" w:hint="default"/>
      </w:rPr>
    </w:lvl>
    <w:lvl w:ilvl="1" w:tplc="040C0003" w:tentative="1">
      <w:start w:val="1"/>
      <w:numFmt w:val="bullet"/>
      <w:lvlText w:val="o"/>
      <w:lvlJc w:val="left"/>
      <w:pPr>
        <w:ind w:left="1500" w:hanging="360"/>
      </w:pPr>
      <w:rPr>
        <w:rFonts w:ascii="Courier New" w:hAnsi="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2">
    <w:nsid w:val="398308D7"/>
    <w:multiLevelType w:val="hybridMultilevel"/>
    <w:tmpl w:val="E2BE4CF4"/>
    <w:lvl w:ilvl="0" w:tplc="5C1025AE">
      <w:start w:val="1"/>
      <w:numFmt w:val="lowerLetter"/>
      <w:lvlText w:val="%1."/>
      <w:lvlJc w:val="left"/>
      <w:pPr>
        <w:ind w:left="720" w:hanging="360"/>
      </w:pPr>
      <w:rPr>
        <w:rFonts w:cs="Times New Roman"/>
      </w:rPr>
    </w:lvl>
    <w:lvl w:ilvl="1" w:tplc="040C0003" w:tentative="1">
      <w:start w:val="1"/>
      <w:numFmt w:val="lowerLetter"/>
      <w:lvlText w:val="%2."/>
      <w:lvlJc w:val="left"/>
      <w:pPr>
        <w:ind w:left="1440" w:hanging="360"/>
      </w:pPr>
      <w:rPr>
        <w:rFonts w:cs="Times New Roman"/>
      </w:rPr>
    </w:lvl>
    <w:lvl w:ilvl="2" w:tplc="040C0005" w:tentative="1">
      <w:start w:val="1"/>
      <w:numFmt w:val="lowerRoman"/>
      <w:lvlText w:val="%3."/>
      <w:lvlJc w:val="right"/>
      <w:pPr>
        <w:ind w:left="2160" w:hanging="180"/>
      </w:pPr>
      <w:rPr>
        <w:rFonts w:cs="Times New Roman"/>
      </w:rPr>
    </w:lvl>
    <w:lvl w:ilvl="3" w:tplc="040C0001" w:tentative="1">
      <w:start w:val="1"/>
      <w:numFmt w:val="decimal"/>
      <w:lvlText w:val="%4."/>
      <w:lvlJc w:val="left"/>
      <w:pPr>
        <w:ind w:left="2880" w:hanging="360"/>
      </w:pPr>
      <w:rPr>
        <w:rFonts w:cs="Times New Roman"/>
      </w:rPr>
    </w:lvl>
    <w:lvl w:ilvl="4" w:tplc="040C0003" w:tentative="1">
      <w:start w:val="1"/>
      <w:numFmt w:val="lowerLetter"/>
      <w:lvlText w:val="%5."/>
      <w:lvlJc w:val="left"/>
      <w:pPr>
        <w:ind w:left="3600" w:hanging="360"/>
      </w:pPr>
      <w:rPr>
        <w:rFonts w:cs="Times New Roman"/>
      </w:rPr>
    </w:lvl>
    <w:lvl w:ilvl="5" w:tplc="040C0005" w:tentative="1">
      <w:start w:val="1"/>
      <w:numFmt w:val="lowerRoman"/>
      <w:lvlText w:val="%6."/>
      <w:lvlJc w:val="right"/>
      <w:pPr>
        <w:ind w:left="4320" w:hanging="180"/>
      </w:pPr>
      <w:rPr>
        <w:rFonts w:cs="Times New Roman"/>
      </w:rPr>
    </w:lvl>
    <w:lvl w:ilvl="6" w:tplc="040C0001" w:tentative="1">
      <w:start w:val="1"/>
      <w:numFmt w:val="decimal"/>
      <w:lvlText w:val="%7."/>
      <w:lvlJc w:val="left"/>
      <w:pPr>
        <w:ind w:left="5040" w:hanging="360"/>
      </w:pPr>
      <w:rPr>
        <w:rFonts w:cs="Times New Roman"/>
      </w:rPr>
    </w:lvl>
    <w:lvl w:ilvl="7" w:tplc="040C0003" w:tentative="1">
      <w:start w:val="1"/>
      <w:numFmt w:val="lowerLetter"/>
      <w:lvlText w:val="%8."/>
      <w:lvlJc w:val="left"/>
      <w:pPr>
        <w:ind w:left="5760" w:hanging="360"/>
      </w:pPr>
      <w:rPr>
        <w:rFonts w:cs="Times New Roman"/>
      </w:rPr>
    </w:lvl>
    <w:lvl w:ilvl="8" w:tplc="040C0005" w:tentative="1">
      <w:start w:val="1"/>
      <w:numFmt w:val="lowerRoman"/>
      <w:lvlText w:val="%9."/>
      <w:lvlJc w:val="right"/>
      <w:pPr>
        <w:ind w:left="6480" w:hanging="180"/>
      </w:pPr>
      <w:rPr>
        <w:rFonts w:cs="Times New Roman"/>
      </w:rPr>
    </w:lvl>
  </w:abstractNum>
  <w:abstractNum w:abstractNumId="13">
    <w:nsid w:val="3DE40752"/>
    <w:multiLevelType w:val="hybridMultilevel"/>
    <w:tmpl w:val="5792D124"/>
    <w:lvl w:ilvl="0" w:tplc="040C0019">
      <w:start w:val="1"/>
      <w:numFmt w:val="bullet"/>
      <w:lvlText w:val=""/>
      <w:lvlJc w:val="left"/>
      <w:pPr>
        <w:ind w:left="720" w:hanging="360"/>
      </w:pPr>
      <w:rPr>
        <w:rFonts w:ascii="Symbol" w:hAnsi="Symbol" w:hint="default"/>
      </w:rPr>
    </w:lvl>
    <w:lvl w:ilvl="1" w:tplc="5C1025AE">
      <w:start w:val="6"/>
      <w:numFmt w:val="bullet"/>
      <w:lvlText w:val="-"/>
      <w:lvlJc w:val="left"/>
      <w:pPr>
        <w:ind w:left="1440" w:hanging="360"/>
      </w:pPr>
      <w:rPr>
        <w:rFonts w:ascii="Times New Roman" w:eastAsia="Times New Roman" w:hAnsi="Times New Roman" w:hint="default"/>
      </w:rPr>
    </w:lvl>
    <w:lvl w:ilvl="2" w:tplc="C738378E">
      <w:numFmt w:val="bullet"/>
      <w:lvlText w:val="–"/>
      <w:lvlJc w:val="left"/>
      <w:pPr>
        <w:ind w:left="2160" w:hanging="360"/>
      </w:pPr>
      <w:rPr>
        <w:rFonts w:ascii="Times New Roman" w:eastAsia="Times New Roman" w:hAnsi="Times New Roman"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14">
    <w:nsid w:val="435543FC"/>
    <w:multiLevelType w:val="hybridMultilevel"/>
    <w:tmpl w:val="DE12F182"/>
    <w:lvl w:ilvl="0" w:tplc="040C0001">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6EA405B"/>
    <w:multiLevelType w:val="hybridMultilevel"/>
    <w:tmpl w:val="A9C6A17E"/>
    <w:lvl w:ilvl="0" w:tplc="CF8CD74C">
      <w:numFmt w:val="bullet"/>
      <w:lvlText w:val="-"/>
      <w:lvlJc w:val="left"/>
      <w:pPr>
        <w:tabs>
          <w:tab w:val="num" w:pos="284"/>
        </w:tabs>
        <w:ind w:left="284" w:hanging="284"/>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47374E5C"/>
    <w:multiLevelType w:val="hybridMultilevel"/>
    <w:tmpl w:val="C0C83D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DA60BD3"/>
    <w:multiLevelType w:val="hybridMultilevel"/>
    <w:tmpl w:val="85E637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FB2244D"/>
    <w:multiLevelType w:val="hybridMultilevel"/>
    <w:tmpl w:val="9440D6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06A3F82"/>
    <w:multiLevelType w:val="multilevel"/>
    <w:tmpl w:val="607628DC"/>
    <w:lvl w:ilvl="0">
      <w:start w:val="1"/>
      <w:numFmt w:val="upperRoman"/>
      <w:pStyle w:val="t1"/>
      <w:lvlText w:val="%1."/>
      <w:lvlJc w:val="left"/>
      <w:pPr>
        <w:tabs>
          <w:tab w:val="num" w:pos="360"/>
        </w:tabs>
      </w:pPr>
      <w:rPr>
        <w:rFonts w:cs="Times New Roman" w:hint="default"/>
      </w:rPr>
    </w:lvl>
    <w:lvl w:ilvl="1">
      <w:start w:val="1"/>
      <w:numFmt w:val="decimal"/>
      <w:lvlText w:val="%1.%2."/>
      <w:lvlJc w:val="left"/>
      <w:pPr>
        <w:tabs>
          <w:tab w:val="num" w:pos="1080"/>
        </w:tabs>
        <w:ind w:left="720"/>
      </w:pPr>
      <w:rPr>
        <w:rFonts w:ascii="Times New Roman" w:hAnsi="Times New Roman" w:cs="Times New Roman" w:hint="default"/>
        <w:b/>
        <w:i w:val="0"/>
        <w:sz w:val="24"/>
        <w:szCs w:val="24"/>
        <w:u w:val="none"/>
      </w:rPr>
    </w:lvl>
    <w:lvl w:ilvl="2">
      <w:start w:val="1"/>
      <w:numFmt w:val="decimal"/>
      <w:lvlText w:val="%1.%2.%3."/>
      <w:lvlJc w:val="left"/>
      <w:pPr>
        <w:tabs>
          <w:tab w:val="num" w:pos="1800"/>
        </w:tabs>
        <w:ind w:left="1440"/>
      </w:pPr>
      <w:rPr>
        <w:rFonts w:cs="Times New Roman" w:hint="default"/>
      </w:rPr>
    </w:lvl>
    <w:lvl w:ilvl="3">
      <w:start w:val="1"/>
      <w:numFmt w:val="lowerLetter"/>
      <w:pStyle w:val="Heading4"/>
      <w:lvlText w:val="%4)"/>
      <w:lvlJc w:val="left"/>
      <w:pPr>
        <w:tabs>
          <w:tab w:val="num" w:pos="2520"/>
        </w:tabs>
        <w:ind w:left="2160"/>
      </w:pPr>
      <w:rPr>
        <w:rFonts w:cs="Times New Roman" w:hint="default"/>
      </w:rPr>
    </w:lvl>
    <w:lvl w:ilvl="4">
      <w:start w:val="1"/>
      <w:numFmt w:val="decimal"/>
      <w:pStyle w:val="Heading5"/>
      <w:lvlText w:val="(%5)"/>
      <w:lvlJc w:val="left"/>
      <w:pPr>
        <w:tabs>
          <w:tab w:val="num" w:pos="3240"/>
        </w:tabs>
        <w:ind w:left="2880"/>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20">
    <w:nsid w:val="50E237A2"/>
    <w:multiLevelType w:val="multilevel"/>
    <w:tmpl w:val="05D29A84"/>
    <w:lvl w:ilvl="0">
      <w:start w:val="1"/>
      <w:numFmt w:val="upperRoman"/>
      <w:lvlText w:val="%1."/>
      <w:lvlJc w:val="left"/>
      <w:pPr>
        <w:tabs>
          <w:tab w:val="num" w:pos="360"/>
        </w:tabs>
        <w:ind w:left="360" w:hanging="360"/>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3414"/>
        </w:tabs>
        <w:ind w:left="3198"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633C338D"/>
    <w:multiLevelType w:val="hybridMultilevel"/>
    <w:tmpl w:val="C61A6D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56F117D"/>
    <w:multiLevelType w:val="hybridMultilevel"/>
    <w:tmpl w:val="4A38D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83050BF"/>
    <w:multiLevelType w:val="hybridMultilevel"/>
    <w:tmpl w:val="00A2BEEC"/>
    <w:lvl w:ilvl="0" w:tplc="E4F2AE32">
      <w:start w:val="2"/>
      <w:numFmt w:val="bullet"/>
      <w:lvlText w:val="-"/>
      <w:lvlJc w:val="left"/>
      <w:pPr>
        <w:ind w:left="720" w:hanging="360"/>
      </w:pPr>
      <w:rPr>
        <w:rFonts w:ascii="Century Gothic" w:eastAsia="Times New Roman" w:hAnsi="Century Gothic" w:hint="default"/>
        <w:caps w:val="0"/>
        <w:strike w:val="0"/>
        <w:dstrike w:val="0"/>
        <w:vanish w:val="0"/>
        <w:vertAlign w:val="baseli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DE82438"/>
    <w:multiLevelType w:val="hybridMultilevel"/>
    <w:tmpl w:val="DFA42B10"/>
    <w:lvl w:ilvl="0" w:tplc="040C0001">
      <w:start w:val="1"/>
      <w:numFmt w:val="bullet"/>
      <w:lvlText w:val=""/>
      <w:lvlJc w:val="left"/>
      <w:pPr>
        <w:ind w:left="720" w:hanging="360"/>
      </w:pPr>
      <w:rPr>
        <w:rFonts w:ascii="Symbol" w:hAnsi="Symbol" w:hint="default"/>
      </w:rPr>
    </w:lvl>
    <w:lvl w:ilvl="1" w:tplc="040C0003" w:tentative="1">
      <w:start w:val="1"/>
      <w:numFmt w:val="lowerLetter"/>
      <w:lvlText w:val="%2."/>
      <w:lvlJc w:val="left"/>
      <w:pPr>
        <w:ind w:left="1440" w:hanging="360"/>
      </w:pPr>
      <w:rPr>
        <w:rFonts w:cs="Times New Roman"/>
      </w:rPr>
    </w:lvl>
    <w:lvl w:ilvl="2" w:tplc="040C0005" w:tentative="1">
      <w:start w:val="1"/>
      <w:numFmt w:val="lowerRoman"/>
      <w:lvlText w:val="%3."/>
      <w:lvlJc w:val="right"/>
      <w:pPr>
        <w:ind w:left="2160" w:hanging="180"/>
      </w:pPr>
      <w:rPr>
        <w:rFonts w:cs="Times New Roman"/>
      </w:rPr>
    </w:lvl>
    <w:lvl w:ilvl="3" w:tplc="040C0001" w:tentative="1">
      <w:start w:val="1"/>
      <w:numFmt w:val="decimal"/>
      <w:lvlText w:val="%4."/>
      <w:lvlJc w:val="left"/>
      <w:pPr>
        <w:ind w:left="2880" w:hanging="360"/>
      </w:pPr>
      <w:rPr>
        <w:rFonts w:cs="Times New Roman"/>
      </w:rPr>
    </w:lvl>
    <w:lvl w:ilvl="4" w:tplc="040C0003" w:tentative="1">
      <w:start w:val="1"/>
      <w:numFmt w:val="lowerLetter"/>
      <w:lvlText w:val="%5."/>
      <w:lvlJc w:val="left"/>
      <w:pPr>
        <w:ind w:left="3600" w:hanging="360"/>
      </w:pPr>
      <w:rPr>
        <w:rFonts w:cs="Times New Roman"/>
      </w:rPr>
    </w:lvl>
    <w:lvl w:ilvl="5" w:tplc="040C0005" w:tentative="1">
      <w:start w:val="1"/>
      <w:numFmt w:val="lowerRoman"/>
      <w:lvlText w:val="%6."/>
      <w:lvlJc w:val="right"/>
      <w:pPr>
        <w:ind w:left="4320" w:hanging="180"/>
      </w:pPr>
      <w:rPr>
        <w:rFonts w:cs="Times New Roman"/>
      </w:rPr>
    </w:lvl>
    <w:lvl w:ilvl="6" w:tplc="040C0001" w:tentative="1">
      <w:start w:val="1"/>
      <w:numFmt w:val="decimal"/>
      <w:lvlText w:val="%7."/>
      <w:lvlJc w:val="left"/>
      <w:pPr>
        <w:ind w:left="5040" w:hanging="360"/>
      </w:pPr>
      <w:rPr>
        <w:rFonts w:cs="Times New Roman"/>
      </w:rPr>
    </w:lvl>
    <w:lvl w:ilvl="7" w:tplc="040C0003" w:tentative="1">
      <w:start w:val="1"/>
      <w:numFmt w:val="lowerLetter"/>
      <w:lvlText w:val="%8."/>
      <w:lvlJc w:val="left"/>
      <w:pPr>
        <w:ind w:left="5760" w:hanging="360"/>
      </w:pPr>
      <w:rPr>
        <w:rFonts w:cs="Times New Roman"/>
      </w:rPr>
    </w:lvl>
    <w:lvl w:ilvl="8" w:tplc="040C0005" w:tentative="1">
      <w:start w:val="1"/>
      <w:numFmt w:val="lowerRoman"/>
      <w:lvlText w:val="%9."/>
      <w:lvlJc w:val="right"/>
      <w:pPr>
        <w:ind w:left="6480" w:hanging="180"/>
      </w:pPr>
      <w:rPr>
        <w:rFonts w:cs="Times New Roman"/>
      </w:rPr>
    </w:lvl>
  </w:abstractNum>
  <w:abstractNum w:abstractNumId="25">
    <w:nsid w:val="702B6A07"/>
    <w:multiLevelType w:val="hybridMultilevel"/>
    <w:tmpl w:val="BB0A24EA"/>
    <w:lvl w:ilvl="0" w:tplc="040C0019">
      <w:start w:val="1"/>
      <w:numFmt w:val="bullet"/>
      <w:lvlText w:val=""/>
      <w:lvlJc w:val="left"/>
      <w:pPr>
        <w:ind w:left="720" w:hanging="360"/>
      </w:pPr>
      <w:rPr>
        <w:rFonts w:ascii="Symbol" w:hAnsi="Symbol" w:hint="default"/>
      </w:rPr>
    </w:lvl>
    <w:lvl w:ilvl="1" w:tplc="040C0003" w:tentative="1">
      <w:start w:val="1"/>
      <w:numFmt w:val="lowerLetter"/>
      <w:lvlText w:val="%2."/>
      <w:lvlJc w:val="left"/>
      <w:pPr>
        <w:ind w:left="1440" w:hanging="360"/>
      </w:pPr>
      <w:rPr>
        <w:rFonts w:cs="Times New Roman"/>
      </w:rPr>
    </w:lvl>
    <w:lvl w:ilvl="2" w:tplc="040C0005" w:tentative="1">
      <w:start w:val="1"/>
      <w:numFmt w:val="lowerRoman"/>
      <w:lvlText w:val="%3."/>
      <w:lvlJc w:val="right"/>
      <w:pPr>
        <w:ind w:left="2160" w:hanging="180"/>
      </w:pPr>
      <w:rPr>
        <w:rFonts w:cs="Times New Roman"/>
      </w:rPr>
    </w:lvl>
    <w:lvl w:ilvl="3" w:tplc="040C0001" w:tentative="1">
      <w:start w:val="1"/>
      <w:numFmt w:val="decimal"/>
      <w:lvlText w:val="%4."/>
      <w:lvlJc w:val="left"/>
      <w:pPr>
        <w:ind w:left="2880" w:hanging="360"/>
      </w:pPr>
      <w:rPr>
        <w:rFonts w:cs="Times New Roman"/>
      </w:rPr>
    </w:lvl>
    <w:lvl w:ilvl="4" w:tplc="040C0003" w:tentative="1">
      <w:start w:val="1"/>
      <w:numFmt w:val="lowerLetter"/>
      <w:lvlText w:val="%5."/>
      <w:lvlJc w:val="left"/>
      <w:pPr>
        <w:ind w:left="3600" w:hanging="360"/>
      </w:pPr>
      <w:rPr>
        <w:rFonts w:cs="Times New Roman"/>
      </w:rPr>
    </w:lvl>
    <w:lvl w:ilvl="5" w:tplc="040C0005" w:tentative="1">
      <w:start w:val="1"/>
      <w:numFmt w:val="lowerRoman"/>
      <w:lvlText w:val="%6."/>
      <w:lvlJc w:val="right"/>
      <w:pPr>
        <w:ind w:left="4320" w:hanging="180"/>
      </w:pPr>
      <w:rPr>
        <w:rFonts w:cs="Times New Roman"/>
      </w:rPr>
    </w:lvl>
    <w:lvl w:ilvl="6" w:tplc="040C0001" w:tentative="1">
      <w:start w:val="1"/>
      <w:numFmt w:val="decimal"/>
      <w:lvlText w:val="%7."/>
      <w:lvlJc w:val="left"/>
      <w:pPr>
        <w:ind w:left="5040" w:hanging="360"/>
      </w:pPr>
      <w:rPr>
        <w:rFonts w:cs="Times New Roman"/>
      </w:rPr>
    </w:lvl>
    <w:lvl w:ilvl="7" w:tplc="040C0003" w:tentative="1">
      <w:start w:val="1"/>
      <w:numFmt w:val="lowerLetter"/>
      <w:lvlText w:val="%8."/>
      <w:lvlJc w:val="left"/>
      <w:pPr>
        <w:ind w:left="5760" w:hanging="360"/>
      </w:pPr>
      <w:rPr>
        <w:rFonts w:cs="Times New Roman"/>
      </w:rPr>
    </w:lvl>
    <w:lvl w:ilvl="8" w:tplc="040C0005" w:tentative="1">
      <w:start w:val="1"/>
      <w:numFmt w:val="lowerRoman"/>
      <w:lvlText w:val="%9."/>
      <w:lvlJc w:val="right"/>
      <w:pPr>
        <w:ind w:left="6480" w:hanging="180"/>
      </w:pPr>
      <w:rPr>
        <w:rFonts w:cs="Times New Roman"/>
      </w:rPr>
    </w:lvl>
  </w:abstractNum>
  <w:abstractNum w:abstractNumId="26">
    <w:nsid w:val="78982F60"/>
    <w:multiLevelType w:val="hybridMultilevel"/>
    <w:tmpl w:val="363C2850"/>
    <w:lvl w:ilvl="0" w:tplc="040C0019">
      <w:start w:val="1"/>
      <w:numFmt w:val="lowerLetter"/>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7">
    <w:nsid w:val="7E9E4767"/>
    <w:multiLevelType w:val="hybridMultilevel"/>
    <w:tmpl w:val="E9C262EC"/>
    <w:lvl w:ilvl="0" w:tplc="040C0019">
      <w:start w:val="6"/>
      <w:numFmt w:val="bullet"/>
      <w:lvlText w:val="-"/>
      <w:lvlJc w:val="left"/>
      <w:pPr>
        <w:ind w:left="720" w:hanging="360"/>
      </w:pPr>
      <w:rPr>
        <w:rFonts w:ascii="Times New Roman" w:eastAsia="Times New Roman" w:hAnsi="Times New Roman" w:hint="default"/>
      </w:rPr>
    </w:lvl>
    <w:lvl w:ilvl="1" w:tplc="040C0019" w:tentative="1">
      <w:start w:val="1"/>
      <w:numFmt w:val="bullet"/>
      <w:lvlText w:val="o"/>
      <w:lvlJc w:val="left"/>
      <w:pPr>
        <w:ind w:left="1440" w:hanging="360"/>
      </w:pPr>
      <w:rPr>
        <w:rFonts w:ascii="Courier New" w:hAnsi="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28">
    <w:nsid w:val="7F593F6D"/>
    <w:multiLevelType w:val="hybridMultilevel"/>
    <w:tmpl w:val="F584544C"/>
    <w:lvl w:ilvl="0" w:tplc="5C1025AE">
      <w:start w:val="6"/>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F6E7BAD"/>
    <w:multiLevelType w:val="hybridMultilevel"/>
    <w:tmpl w:val="C28E7C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F704AB1"/>
    <w:multiLevelType w:val="hybridMultilevel"/>
    <w:tmpl w:val="55D089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FD862D7"/>
    <w:multiLevelType w:val="hybridMultilevel"/>
    <w:tmpl w:val="9A2E728A"/>
    <w:lvl w:ilvl="0" w:tplc="07A80228">
      <w:start w:val="1"/>
      <w:numFmt w:val="lowerLetter"/>
      <w:lvlText w:val="%1."/>
      <w:lvlJc w:val="left"/>
      <w:pPr>
        <w:ind w:left="720" w:hanging="360"/>
      </w:pPr>
      <w:rPr>
        <w:rFont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19"/>
  </w:num>
  <w:num w:numId="5">
    <w:abstractNumId w:val="4"/>
  </w:num>
  <w:num w:numId="6">
    <w:abstractNumId w:val="20"/>
  </w:num>
  <w:num w:numId="7">
    <w:abstractNumId w:val="13"/>
  </w:num>
  <w:num w:numId="8">
    <w:abstractNumId w:val="14"/>
  </w:num>
  <w:num w:numId="9">
    <w:abstractNumId w:val="27"/>
  </w:num>
  <w:num w:numId="10">
    <w:abstractNumId w:val="10"/>
  </w:num>
  <w:num w:numId="11">
    <w:abstractNumId w:val="8"/>
  </w:num>
  <w:num w:numId="12">
    <w:abstractNumId w:val="24"/>
  </w:num>
  <w:num w:numId="13">
    <w:abstractNumId w:val="12"/>
  </w:num>
  <w:num w:numId="14">
    <w:abstractNumId w:val="15"/>
  </w:num>
  <w:num w:numId="15">
    <w:abstractNumId w:val="31"/>
  </w:num>
  <w:num w:numId="16">
    <w:abstractNumId w:val="26"/>
  </w:num>
  <w:num w:numId="17">
    <w:abstractNumId w:val="2"/>
  </w:num>
  <w:num w:numId="18">
    <w:abstractNumId w:val="16"/>
  </w:num>
  <w:num w:numId="19">
    <w:abstractNumId w:val="6"/>
  </w:num>
  <w:num w:numId="20">
    <w:abstractNumId w:val="22"/>
  </w:num>
  <w:num w:numId="21">
    <w:abstractNumId w:val="28"/>
  </w:num>
  <w:num w:numId="22">
    <w:abstractNumId w:val="11"/>
  </w:num>
  <w:num w:numId="23">
    <w:abstractNumId w:val="5"/>
  </w:num>
  <w:num w:numId="24">
    <w:abstractNumId w:val="25"/>
  </w:num>
  <w:num w:numId="25">
    <w:abstractNumId w:val="3"/>
  </w:num>
  <w:num w:numId="26">
    <w:abstractNumId w:val="30"/>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23"/>
  </w:num>
  <w:num w:numId="31">
    <w:abstractNumId w:val="20"/>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7"/>
  </w:num>
  <w:num w:numId="35">
    <w:abstractNumId w:val="20"/>
  </w:num>
  <w:num w:numId="36">
    <w:abstractNumId w:val="20"/>
  </w:num>
  <w:num w:numId="37">
    <w:abstractNumId w:val="18"/>
  </w:num>
  <w:num w:numId="38">
    <w:abstractNumId w:val="21"/>
  </w:num>
  <w:num w:numId="39">
    <w:abstractNumId w:val="9"/>
  </w:num>
  <w:num w:numId="40">
    <w:abstractNumId w:val="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EB4"/>
    <w:rsid w:val="00000811"/>
    <w:rsid w:val="000036E5"/>
    <w:rsid w:val="00004424"/>
    <w:rsid w:val="00013447"/>
    <w:rsid w:val="00015140"/>
    <w:rsid w:val="00016620"/>
    <w:rsid w:val="00017442"/>
    <w:rsid w:val="00031203"/>
    <w:rsid w:val="00034556"/>
    <w:rsid w:val="000355C7"/>
    <w:rsid w:val="0004666F"/>
    <w:rsid w:val="00047F1B"/>
    <w:rsid w:val="00054197"/>
    <w:rsid w:val="00056E64"/>
    <w:rsid w:val="00076631"/>
    <w:rsid w:val="000775E3"/>
    <w:rsid w:val="00080E38"/>
    <w:rsid w:val="000914B0"/>
    <w:rsid w:val="00092923"/>
    <w:rsid w:val="00095EFD"/>
    <w:rsid w:val="00097E85"/>
    <w:rsid w:val="000A0236"/>
    <w:rsid w:val="000A3B94"/>
    <w:rsid w:val="000A40A5"/>
    <w:rsid w:val="000A5477"/>
    <w:rsid w:val="000A5D88"/>
    <w:rsid w:val="000C0DF6"/>
    <w:rsid w:val="000C577C"/>
    <w:rsid w:val="000D2D70"/>
    <w:rsid w:val="000E0116"/>
    <w:rsid w:val="000E1724"/>
    <w:rsid w:val="000E4858"/>
    <w:rsid w:val="000F2B00"/>
    <w:rsid w:val="000F7E0A"/>
    <w:rsid w:val="001030B4"/>
    <w:rsid w:val="00112A06"/>
    <w:rsid w:val="00113BF8"/>
    <w:rsid w:val="00115028"/>
    <w:rsid w:val="00115C20"/>
    <w:rsid w:val="001170BA"/>
    <w:rsid w:val="0012186B"/>
    <w:rsid w:val="00121FFC"/>
    <w:rsid w:val="00131561"/>
    <w:rsid w:val="001409A4"/>
    <w:rsid w:val="00142574"/>
    <w:rsid w:val="00150AFD"/>
    <w:rsid w:val="001569C9"/>
    <w:rsid w:val="00162175"/>
    <w:rsid w:val="00185478"/>
    <w:rsid w:val="0018782D"/>
    <w:rsid w:val="00187EE0"/>
    <w:rsid w:val="00196B72"/>
    <w:rsid w:val="001A1A6C"/>
    <w:rsid w:val="001A29CC"/>
    <w:rsid w:val="001B38DB"/>
    <w:rsid w:val="001C00D1"/>
    <w:rsid w:val="001C177B"/>
    <w:rsid w:val="001C4CF3"/>
    <w:rsid w:val="001C4F5D"/>
    <w:rsid w:val="001C6E7F"/>
    <w:rsid w:val="001D5084"/>
    <w:rsid w:val="001D60F8"/>
    <w:rsid w:val="001E1C1A"/>
    <w:rsid w:val="001E2DB9"/>
    <w:rsid w:val="001E3271"/>
    <w:rsid w:val="001F15CA"/>
    <w:rsid w:val="00201A9A"/>
    <w:rsid w:val="002023F5"/>
    <w:rsid w:val="00203B03"/>
    <w:rsid w:val="0020503B"/>
    <w:rsid w:val="00212767"/>
    <w:rsid w:val="00214945"/>
    <w:rsid w:val="002179FA"/>
    <w:rsid w:val="00217DE6"/>
    <w:rsid w:val="00223044"/>
    <w:rsid w:val="00227687"/>
    <w:rsid w:val="002307BC"/>
    <w:rsid w:val="00232B1A"/>
    <w:rsid w:val="002455D1"/>
    <w:rsid w:val="00254B85"/>
    <w:rsid w:val="002568EC"/>
    <w:rsid w:val="00261067"/>
    <w:rsid w:val="00261E61"/>
    <w:rsid w:val="00263B41"/>
    <w:rsid w:val="00274044"/>
    <w:rsid w:val="0028541E"/>
    <w:rsid w:val="00285C77"/>
    <w:rsid w:val="00290112"/>
    <w:rsid w:val="00295250"/>
    <w:rsid w:val="002A0443"/>
    <w:rsid w:val="002A2CCF"/>
    <w:rsid w:val="002A51B6"/>
    <w:rsid w:val="002B5653"/>
    <w:rsid w:val="002C432C"/>
    <w:rsid w:val="002C64BD"/>
    <w:rsid w:val="002C6A64"/>
    <w:rsid w:val="002D08BF"/>
    <w:rsid w:val="002E06A8"/>
    <w:rsid w:val="002E6768"/>
    <w:rsid w:val="002E7A6B"/>
    <w:rsid w:val="002F0CEF"/>
    <w:rsid w:val="0030091B"/>
    <w:rsid w:val="00304079"/>
    <w:rsid w:val="00305723"/>
    <w:rsid w:val="003073D3"/>
    <w:rsid w:val="00310FA3"/>
    <w:rsid w:val="0031687E"/>
    <w:rsid w:val="00322431"/>
    <w:rsid w:val="0032302D"/>
    <w:rsid w:val="003231AE"/>
    <w:rsid w:val="00324369"/>
    <w:rsid w:val="00330984"/>
    <w:rsid w:val="00340FB5"/>
    <w:rsid w:val="00342F52"/>
    <w:rsid w:val="00344157"/>
    <w:rsid w:val="00351FEF"/>
    <w:rsid w:val="00380FF6"/>
    <w:rsid w:val="003837F6"/>
    <w:rsid w:val="003858BF"/>
    <w:rsid w:val="00387783"/>
    <w:rsid w:val="0039617F"/>
    <w:rsid w:val="003A1D06"/>
    <w:rsid w:val="003A23B1"/>
    <w:rsid w:val="003B3664"/>
    <w:rsid w:val="003B6024"/>
    <w:rsid w:val="003C0016"/>
    <w:rsid w:val="003C7CFF"/>
    <w:rsid w:val="003D22CE"/>
    <w:rsid w:val="003E4170"/>
    <w:rsid w:val="003E7E7A"/>
    <w:rsid w:val="003F02D5"/>
    <w:rsid w:val="003F36DA"/>
    <w:rsid w:val="003F79F5"/>
    <w:rsid w:val="0041081C"/>
    <w:rsid w:val="004114D3"/>
    <w:rsid w:val="00411810"/>
    <w:rsid w:val="00413F7A"/>
    <w:rsid w:val="00427FDE"/>
    <w:rsid w:val="00431F18"/>
    <w:rsid w:val="0043290D"/>
    <w:rsid w:val="004465BC"/>
    <w:rsid w:val="00462E72"/>
    <w:rsid w:val="004701FC"/>
    <w:rsid w:val="00471B1D"/>
    <w:rsid w:val="00473355"/>
    <w:rsid w:val="004879CC"/>
    <w:rsid w:val="004944C1"/>
    <w:rsid w:val="004A0A69"/>
    <w:rsid w:val="004A18C0"/>
    <w:rsid w:val="004B1B2C"/>
    <w:rsid w:val="004C0C4E"/>
    <w:rsid w:val="004C1648"/>
    <w:rsid w:val="004C23D8"/>
    <w:rsid w:val="004C7290"/>
    <w:rsid w:val="004D1E29"/>
    <w:rsid w:val="004D79B2"/>
    <w:rsid w:val="004D7F55"/>
    <w:rsid w:val="004E2403"/>
    <w:rsid w:val="004E2A05"/>
    <w:rsid w:val="004E5684"/>
    <w:rsid w:val="004E69CA"/>
    <w:rsid w:val="004E7698"/>
    <w:rsid w:val="004F0221"/>
    <w:rsid w:val="004F1934"/>
    <w:rsid w:val="004F2619"/>
    <w:rsid w:val="00500642"/>
    <w:rsid w:val="00504776"/>
    <w:rsid w:val="005049B1"/>
    <w:rsid w:val="00507336"/>
    <w:rsid w:val="00511A29"/>
    <w:rsid w:val="00517C7B"/>
    <w:rsid w:val="005306E4"/>
    <w:rsid w:val="0053281D"/>
    <w:rsid w:val="00532FD0"/>
    <w:rsid w:val="00535A6E"/>
    <w:rsid w:val="0054374A"/>
    <w:rsid w:val="00544843"/>
    <w:rsid w:val="005458B6"/>
    <w:rsid w:val="00550F77"/>
    <w:rsid w:val="00557806"/>
    <w:rsid w:val="00557F2E"/>
    <w:rsid w:val="005608DB"/>
    <w:rsid w:val="0057193F"/>
    <w:rsid w:val="00576C60"/>
    <w:rsid w:val="005814D0"/>
    <w:rsid w:val="00587B8F"/>
    <w:rsid w:val="00587F3D"/>
    <w:rsid w:val="00592B84"/>
    <w:rsid w:val="005A1E3F"/>
    <w:rsid w:val="005A3C39"/>
    <w:rsid w:val="005A40F6"/>
    <w:rsid w:val="005A7310"/>
    <w:rsid w:val="005B2909"/>
    <w:rsid w:val="005B67B2"/>
    <w:rsid w:val="005C28D4"/>
    <w:rsid w:val="005C6E3D"/>
    <w:rsid w:val="005C7244"/>
    <w:rsid w:val="005D020A"/>
    <w:rsid w:val="005D19C4"/>
    <w:rsid w:val="005D5CC0"/>
    <w:rsid w:val="005D6FF3"/>
    <w:rsid w:val="005E0D36"/>
    <w:rsid w:val="005E56AE"/>
    <w:rsid w:val="006007B8"/>
    <w:rsid w:val="00607366"/>
    <w:rsid w:val="0062082E"/>
    <w:rsid w:val="00627BC4"/>
    <w:rsid w:val="00633ADC"/>
    <w:rsid w:val="006344FD"/>
    <w:rsid w:val="00634A5F"/>
    <w:rsid w:val="00635048"/>
    <w:rsid w:val="00636618"/>
    <w:rsid w:val="00640D61"/>
    <w:rsid w:val="00650F63"/>
    <w:rsid w:val="00651F09"/>
    <w:rsid w:val="00660A29"/>
    <w:rsid w:val="00661038"/>
    <w:rsid w:val="006676AF"/>
    <w:rsid w:val="00670DA3"/>
    <w:rsid w:val="00674279"/>
    <w:rsid w:val="00674A72"/>
    <w:rsid w:val="00676400"/>
    <w:rsid w:val="00681527"/>
    <w:rsid w:val="00685B42"/>
    <w:rsid w:val="00693881"/>
    <w:rsid w:val="006965A8"/>
    <w:rsid w:val="00696695"/>
    <w:rsid w:val="006A073F"/>
    <w:rsid w:val="006A0E18"/>
    <w:rsid w:val="006B2274"/>
    <w:rsid w:val="006B454F"/>
    <w:rsid w:val="006B6239"/>
    <w:rsid w:val="006B7E9B"/>
    <w:rsid w:val="006C2216"/>
    <w:rsid w:val="006C49CE"/>
    <w:rsid w:val="006C5F29"/>
    <w:rsid w:val="006D08A3"/>
    <w:rsid w:val="006D2F00"/>
    <w:rsid w:val="006D407E"/>
    <w:rsid w:val="006D752D"/>
    <w:rsid w:val="006E2A81"/>
    <w:rsid w:val="006F236E"/>
    <w:rsid w:val="006F3334"/>
    <w:rsid w:val="00703298"/>
    <w:rsid w:val="00707C4E"/>
    <w:rsid w:val="00712350"/>
    <w:rsid w:val="007127F5"/>
    <w:rsid w:val="00715179"/>
    <w:rsid w:val="007171F8"/>
    <w:rsid w:val="00722BD4"/>
    <w:rsid w:val="007244C4"/>
    <w:rsid w:val="00726446"/>
    <w:rsid w:val="00732F37"/>
    <w:rsid w:val="0074004B"/>
    <w:rsid w:val="0074137C"/>
    <w:rsid w:val="00753F5E"/>
    <w:rsid w:val="007572C4"/>
    <w:rsid w:val="00766CA8"/>
    <w:rsid w:val="007855CA"/>
    <w:rsid w:val="00787BFA"/>
    <w:rsid w:val="007924ED"/>
    <w:rsid w:val="00792CBA"/>
    <w:rsid w:val="007A2C83"/>
    <w:rsid w:val="007B25DA"/>
    <w:rsid w:val="007B279E"/>
    <w:rsid w:val="007B7645"/>
    <w:rsid w:val="007C3B55"/>
    <w:rsid w:val="007C6600"/>
    <w:rsid w:val="007C7DAF"/>
    <w:rsid w:val="007D3B6A"/>
    <w:rsid w:val="007E0B78"/>
    <w:rsid w:val="007E3B3D"/>
    <w:rsid w:val="007E62ED"/>
    <w:rsid w:val="007E6910"/>
    <w:rsid w:val="007E6D76"/>
    <w:rsid w:val="00803FC6"/>
    <w:rsid w:val="00805F79"/>
    <w:rsid w:val="00806E58"/>
    <w:rsid w:val="0081429B"/>
    <w:rsid w:val="0082224B"/>
    <w:rsid w:val="0082233E"/>
    <w:rsid w:val="008253C7"/>
    <w:rsid w:val="0082782A"/>
    <w:rsid w:val="00831C7E"/>
    <w:rsid w:val="0083660C"/>
    <w:rsid w:val="00842CDA"/>
    <w:rsid w:val="00842DA8"/>
    <w:rsid w:val="008441A1"/>
    <w:rsid w:val="00844861"/>
    <w:rsid w:val="0084674D"/>
    <w:rsid w:val="00850028"/>
    <w:rsid w:val="00850BA5"/>
    <w:rsid w:val="0085320D"/>
    <w:rsid w:val="00853910"/>
    <w:rsid w:val="00854FF0"/>
    <w:rsid w:val="0085684B"/>
    <w:rsid w:val="0085797B"/>
    <w:rsid w:val="00863A8E"/>
    <w:rsid w:val="00873A4F"/>
    <w:rsid w:val="00875362"/>
    <w:rsid w:val="00885641"/>
    <w:rsid w:val="00892FAC"/>
    <w:rsid w:val="00895F91"/>
    <w:rsid w:val="00896A4C"/>
    <w:rsid w:val="008A1B1D"/>
    <w:rsid w:val="008A39D0"/>
    <w:rsid w:val="008A4C06"/>
    <w:rsid w:val="008B037C"/>
    <w:rsid w:val="008C442B"/>
    <w:rsid w:val="008C5EDB"/>
    <w:rsid w:val="008D4EAD"/>
    <w:rsid w:val="008E7181"/>
    <w:rsid w:val="008F59A2"/>
    <w:rsid w:val="009004CC"/>
    <w:rsid w:val="009010D2"/>
    <w:rsid w:val="00902CC7"/>
    <w:rsid w:val="00914699"/>
    <w:rsid w:val="0092029D"/>
    <w:rsid w:val="00930305"/>
    <w:rsid w:val="00930403"/>
    <w:rsid w:val="00932687"/>
    <w:rsid w:val="00940249"/>
    <w:rsid w:val="00944D2A"/>
    <w:rsid w:val="00946493"/>
    <w:rsid w:val="00946EB4"/>
    <w:rsid w:val="0094797F"/>
    <w:rsid w:val="0095196C"/>
    <w:rsid w:val="00953C8D"/>
    <w:rsid w:val="009541B3"/>
    <w:rsid w:val="00956231"/>
    <w:rsid w:val="00965A79"/>
    <w:rsid w:val="00970DB2"/>
    <w:rsid w:val="00974F4F"/>
    <w:rsid w:val="009821B1"/>
    <w:rsid w:val="009853D6"/>
    <w:rsid w:val="00990251"/>
    <w:rsid w:val="0099094B"/>
    <w:rsid w:val="00992E08"/>
    <w:rsid w:val="00995705"/>
    <w:rsid w:val="00995872"/>
    <w:rsid w:val="009A1140"/>
    <w:rsid w:val="009A1D53"/>
    <w:rsid w:val="009A2E21"/>
    <w:rsid w:val="009C1F3F"/>
    <w:rsid w:val="009C25CC"/>
    <w:rsid w:val="009C376A"/>
    <w:rsid w:val="009D0DDE"/>
    <w:rsid w:val="009D79BF"/>
    <w:rsid w:val="009F0CD4"/>
    <w:rsid w:val="009F5431"/>
    <w:rsid w:val="00A02E7D"/>
    <w:rsid w:val="00A06DB1"/>
    <w:rsid w:val="00A1175A"/>
    <w:rsid w:val="00A11D3E"/>
    <w:rsid w:val="00A1499D"/>
    <w:rsid w:val="00A156FF"/>
    <w:rsid w:val="00A2381B"/>
    <w:rsid w:val="00A23D48"/>
    <w:rsid w:val="00A23EE7"/>
    <w:rsid w:val="00A24A37"/>
    <w:rsid w:val="00A33249"/>
    <w:rsid w:val="00A40240"/>
    <w:rsid w:val="00A42BA5"/>
    <w:rsid w:val="00A437F4"/>
    <w:rsid w:val="00A46CFB"/>
    <w:rsid w:val="00A60031"/>
    <w:rsid w:val="00A645C6"/>
    <w:rsid w:val="00A7559F"/>
    <w:rsid w:val="00A760AE"/>
    <w:rsid w:val="00A767E9"/>
    <w:rsid w:val="00A83874"/>
    <w:rsid w:val="00A91C71"/>
    <w:rsid w:val="00A93331"/>
    <w:rsid w:val="00AA4F32"/>
    <w:rsid w:val="00AA5527"/>
    <w:rsid w:val="00AA5FD5"/>
    <w:rsid w:val="00AA63B4"/>
    <w:rsid w:val="00AB44E3"/>
    <w:rsid w:val="00AB50F1"/>
    <w:rsid w:val="00AB6D5D"/>
    <w:rsid w:val="00AC0A63"/>
    <w:rsid w:val="00AC1079"/>
    <w:rsid w:val="00AC4133"/>
    <w:rsid w:val="00AC698C"/>
    <w:rsid w:val="00AD04A3"/>
    <w:rsid w:val="00AD2175"/>
    <w:rsid w:val="00AD3516"/>
    <w:rsid w:val="00AE41C2"/>
    <w:rsid w:val="00AE5690"/>
    <w:rsid w:val="00AE569F"/>
    <w:rsid w:val="00AF25EE"/>
    <w:rsid w:val="00AF7586"/>
    <w:rsid w:val="00B0040A"/>
    <w:rsid w:val="00B02AFD"/>
    <w:rsid w:val="00B02B6B"/>
    <w:rsid w:val="00B03791"/>
    <w:rsid w:val="00B0450F"/>
    <w:rsid w:val="00B13047"/>
    <w:rsid w:val="00B13FE0"/>
    <w:rsid w:val="00B2419C"/>
    <w:rsid w:val="00B322BA"/>
    <w:rsid w:val="00B36188"/>
    <w:rsid w:val="00B43881"/>
    <w:rsid w:val="00B6058F"/>
    <w:rsid w:val="00B6360E"/>
    <w:rsid w:val="00B6579A"/>
    <w:rsid w:val="00B75F9C"/>
    <w:rsid w:val="00B8061E"/>
    <w:rsid w:val="00B846AD"/>
    <w:rsid w:val="00B861A0"/>
    <w:rsid w:val="00B91C4B"/>
    <w:rsid w:val="00BA0441"/>
    <w:rsid w:val="00BA2592"/>
    <w:rsid w:val="00BA417F"/>
    <w:rsid w:val="00BA7878"/>
    <w:rsid w:val="00BB0863"/>
    <w:rsid w:val="00BB1816"/>
    <w:rsid w:val="00BB352A"/>
    <w:rsid w:val="00BB587E"/>
    <w:rsid w:val="00BD125B"/>
    <w:rsid w:val="00BD1C74"/>
    <w:rsid w:val="00BD5908"/>
    <w:rsid w:val="00BD5BD0"/>
    <w:rsid w:val="00BE7F56"/>
    <w:rsid w:val="00BF4EDA"/>
    <w:rsid w:val="00BF5244"/>
    <w:rsid w:val="00BF5824"/>
    <w:rsid w:val="00C01C0C"/>
    <w:rsid w:val="00C203B7"/>
    <w:rsid w:val="00C25C76"/>
    <w:rsid w:val="00C26F36"/>
    <w:rsid w:val="00C32A76"/>
    <w:rsid w:val="00C33914"/>
    <w:rsid w:val="00C36208"/>
    <w:rsid w:val="00C36A2C"/>
    <w:rsid w:val="00C4500B"/>
    <w:rsid w:val="00C45464"/>
    <w:rsid w:val="00C533BF"/>
    <w:rsid w:val="00C673A1"/>
    <w:rsid w:val="00C7054A"/>
    <w:rsid w:val="00C77A77"/>
    <w:rsid w:val="00C8205D"/>
    <w:rsid w:val="00C91231"/>
    <w:rsid w:val="00C93224"/>
    <w:rsid w:val="00CA712A"/>
    <w:rsid w:val="00CB1B49"/>
    <w:rsid w:val="00CB47E0"/>
    <w:rsid w:val="00CB51D0"/>
    <w:rsid w:val="00CB54D6"/>
    <w:rsid w:val="00CB663D"/>
    <w:rsid w:val="00CC33AD"/>
    <w:rsid w:val="00CC6D29"/>
    <w:rsid w:val="00CD1270"/>
    <w:rsid w:val="00CD1C4F"/>
    <w:rsid w:val="00CD5656"/>
    <w:rsid w:val="00CD7953"/>
    <w:rsid w:val="00CE2023"/>
    <w:rsid w:val="00CE2BB3"/>
    <w:rsid w:val="00CE5665"/>
    <w:rsid w:val="00CF6403"/>
    <w:rsid w:val="00D0143D"/>
    <w:rsid w:val="00D076DF"/>
    <w:rsid w:val="00D10D7A"/>
    <w:rsid w:val="00D117D3"/>
    <w:rsid w:val="00D16062"/>
    <w:rsid w:val="00D209BE"/>
    <w:rsid w:val="00D22437"/>
    <w:rsid w:val="00D25DF1"/>
    <w:rsid w:val="00D304CA"/>
    <w:rsid w:val="00D32784"/>
    <w:rsid w:val="00D35751"/>
    <w:rsid w:val="00D42815"/>
    <w:rsid w:val="00D42A44"/>
    <w:rsid w:val="00D4483D"/>
    <w:rsid w:val="00D45C58"/>
    <w:rsid w:val="00D4678C"/>
    <w:rsid w:val="00D51C58"/>
    <w:rsid w:val="00D5644F"/>
    <w:rsid w:val="00D56733"/>
    <w:rsid w:val="00D62BE3"/>
    <w:rsid w:val="00D62CDC"/>
    <w:rsid w:val="00D65756"/>
    <w:rsid w:val="00D66205"/>
    <w:rsid w:val="00D92178"/>
    <w:rsid w:val="00DA0FFC"/>
    <w:rsid w:val="00DA677A"/>
    <w:rsid w:val="00DA72B6"/>
    <w:rsid w:val="00DB14B0"/>
    <w:rsid w:val="00DB32E5"/>
    <w:rsid w:val="00DB6A14"/>
    <w:rsid w:val="00DB6C30"/>
    <w:rsid w:val="00DC024B"/>
    <w:rsid w:val="00DD08D1"/>
    <w:rsid w:val="00DD5EBD"/>
    <w:rsid w:val="00DE2E08"/>
    <w:rsid w:val="00DF2FEB"/>
    <w:rsid w:val="00DF38E4"/>
    <w:rsid w:val="00DF4C7C"/>
    <w:rsid w:val="00DF7A73"/>
    <w:rsid w:val="00E10051"/>
    <w:rsid w:val="00E1027A"/>
    <w:rsid w:val="00E14724"/>
    <w:rsid w:val="00E15BAD"/>
    <w:rsid w:val="00E16122"/>
    <w:rsid w:val="00E16470"/>
    <w:rsid w:val="00E2082A"/>
    <w:rsid w:val="00E2492E"/>
    <w:rsid w:val="00E25471"/>
    <w:rsid w:val="00E323E3"/>
    <w:rsid w:val="00E32F3D"/>
    <w:rsid w:val="00E35D38"/>
    <w:rsid w:val="00E37B08"/>
    <w:rsid w:val="00E55305"/>
    <w:rsid w:val="00E61B8D"/>
    <w:rsid w:val="00E621E4"/>
    <w:rsid w:val="00E62C80"/>
    <w:rsid w:val="00E67BEF"/>
    <w:rsid w:val="00E75EDD"/>
    <w:rsid w:val="00E77CDA"/>
    <w:rsid w:val="00E8095D"/>
    <w:rsid w:val="00E832E3"/>
    <w:rsid w:val="00E85680"/>
    <w:rsid w:val="00E86096"/>
    <w:rsid w:val="00E86FB1"/>
    <w:rsid w:val="00E94C90"/>
    <w:rsid w:val="00E97003"/>
    <w:rsid w:val="00EA0A0D"/>
    <w:rsid w:val="00EA13C9"/>
    <w:rsid w:val="00EA5DC6"/>
    <w:rsid w:val="00EB2DDA"/>
    <w:rsid w:val="00EB5355"/>
    <w:rsid w:val="00EB738F"/>
    <w:rsid w:val="00EB7830"/>
    <w:rsid w:val="00EC4C7D"/>
    <w:rsid w:val="00ED343B"/>
    <w:rsid w:val="00ED454E"/>
    <w:rsid w:val="00ED7533"/>
    <w:rsid w:val="00EE450E"/>
    <w:rsid w:val="00EE6CA0"/>
    <w:rsid w:val="00EF0AAD"/>
    <w:rsid w:val="00EF69AA"/>
    <w:rsid w:val="00F00DA5"/>
    <w:rsid w:val="00F0198F"/>
    <w:rsid w:val="00F021C5"/>
    <w:rsid w:val="00F05F62"/>
    <w:rsid w:val="00F20D9D"/>
    <w:rsid w:val="00F210A3"/>
    <w:rsid w:val="00F23AE1"/>
    <w:rsid w:val="00F26862"/>
    <w:rsid w:val="00F32F45"/>
    <w:rsid w:val="00F341DF"/>
    <w:rsid w:val="00F3630C"/>
    <w:rsid w:val="00F424FB"/>
    <w:rsid w:val="00F434FA"/>
    <w:rsid w:val="00F44ADD"/>
    <w:rsid w:val="00F507FB"/>
    <w:rsid w:val="00F50E1D"/>
    <w:rsid w:val="00F518A8"/>
    <w:rsid w:val="00F53012"/>
    <w:rsid w:val="00F6191A"/>
    <w:rsid w:val="00F62888"/>
    <w:rsid w:val="00F73007"/>
    <w:rsid w:val="00F737B7"/>
    <w:rsid w:val="00F83FBA"/>
    <w:rsid w:val="00F845D2"/>
    <w:rsid w:val="00F85016"/>
    <w:rsid w:val="00F86A97"/>
    <w:rsid w:val="00F87430"/>
    <w:rsid w:val="00F90643"/>
    <w:rsid w:val="00F9635C"/>
    <w:rsid w:val="00FA4A06"/>
    <w:rsid w:val="00FA747D"/>
    <w:rsid w:val="00FB3D3D"/>
    <w:rsid w:val="00FB5640"/>
    <w:rsid w:val="00FB6DE7"/>
    <w:rsid w:val="00FC2CA6"/>
    <w:rsid w:val="00FC426B"/>
    <w:rsid w:val="00FC7A75"/>
    <w:rsid w:val="00FD5EE5"/>
    <w:rsid w:val="00FE3BF3"/>
    <w:rsid w:val="00FF159B"/>
    <w:rsid w:val="00FF1A19"/>
    <w:rsid w:val="00FF2432"/>
    <w:rsid w:val="00FF2EB8"/>
    <w:rsid w:val="00FF339F"/>
    <w:rsid w:val="00FF6472"/>
    <w:rsid w:val="00FF6DD6"/>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locked="1" w:uiPriority="0"/>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46EB4"/>
    <w:rPr>
      <w:rFonts w:ascii="Times New Roman" w:eastAsia="Times New Roman" w:hAnsi="Times New Roman"/>
      <w:sz w:val="24"/>
      <w:szCs w:val="24"/>
    </w:rPr>
  </w:style>
  <w:style w:type="paragraph" w:styleId="Heading1">
    <w:name w:val="heading 1"/>
    <w:basedOn w:val="Normal"/>
    <w:next w:val="Normal"/>
    <w:link w:val="Heading1Char"/>
    <w:uiPriority w:val="99"/>
    <w:qFormat/>
    <w:rsid w:val="00946EB4"/>
    <w:pPr>
      <w:numPr>
        <w:numId w:val="5"/>
      </w:numPr>
      <w:jc w:val="both"/>
      <w:outlineLvl w:val="0"/>
    </w:pPr>
    <w:rPr>
      <w:b/>
      <w:sz w:val="28"/>
      <w:szCs w:val="28"/>
      <w:u w:val="single"/>
    </w:rPr>
  </w:style>
  <w:style w:type="paragraph" w:styleId="Heading2">
    <w:name w:val="heading 2"/>
    <w:basedOn w:val="Normal"/>
    <w:next w:val="Normal"/>
    <w:link w:val="Heading2Char"/>
    <w:uiPriority w:val="99"/>
    <w:qFormat/>
    <w:rsid w:val="00946EB4"/>
    <w:pPr>
      <w:keepNext/>
      <w:numPr>
        <w:ilvl w:val="1"/>
        <w:numId w:val="5"/>
      </w:numPr>
      <w:tabs>
        <w:tab w:val="clear" w:pos="792"/>
        <w:tab w:val="num" w:pos="851"/>
      </w:tabs>
      <w:spacing w:before="240" w:after="60"/>
      <w:ind w:left="851" w:hanging="851"/>
      <w:outlineLvl w:val="1"/>
    </w:pPr>
    <w:rPr>
      <w:rFonts w:cs="Arial"/>
      <w:b/>
      <w:bCs/>
      <w:iCs/>
      <w:sz w:val="26"/>
      <w:szCs w:val="26"/>
      <w:u w:val="single"/>
    </w:rPr>
  </w:style>
  <w:style w:type="paragraph" w:styleId="Heading3">
    <w:name w:val="heading 3"/>
    <w:basedOn w:val="Normal"/>
    <w:next w:val="Normal"/>
    <w:link w:val="Heading3Char"/>
    <w:uiPriority w:val="99"/>
    <w:qFormat/>
    <w:rsid w:val="00946EB4"/>
    <w:pPr>
      <w:keepNext/>
      <w:numPr>
        <w:ilvl w:val="2"/>
        <w:numId w:val="5"/>
      </w:numPr>
      <w:tabs>
        <w:tab w:val="clear" w:pos="1440"/>
        <w:tab w:val="num" w:pos="3414"/>
      </w:tabs>
      <w:spacing w:before="240" w:after="60"/>
      <w:ind w:left="3198"/>
      <w:outlineLvl w:val="2"/>
    </w:pPr>
    <w:rPr>
      <w:rFonts w:ascii="Arial" w:hAnsi="Arial" w:cs="Arial"/>
      <w:b/>
      <w:bCs/>
      <w:sz w:val="26"/>
      <w:szCs w:val="26"/>
    </w:rPr>
  </w:style>
  <w:style w:type="paragraph" w:styleId="Heading4">
    <w:name w:val="heading 4"/>
    <w:basedOn w:val="Normal"/>
    <w:next w:val="Normal"/>
    <w:link w:val="Heading4Char"/>
    <w:uiPriority w:val="99"/>
    <w:qFormat/>
    <w:rsid w:val="00946EB4"/>
    <w:pPr>
      <w:keepNext/>
      <w:numPr>
        <w:ilvl w:val="3"/>
        <w:numId w:val="4"/>
      </w:numPr>
      <w:spacing w:before="240" w:after="60"/>
      <w:outlineLvl w:val="3"/>
    </w:pPr>
    <w:rPr>
      <w:b/>
      <w:bCs/>
      <w:sz w:val="28"/>
      <w:szCs w:val="28"/>
    </w:rPr>
  </w:style>
  <w:style w:type="paragraph" w:styleId="Heading5">
    <w:name w:val="heading 5"/>
    <w:basedOn w:val="Normal"/>
    <w:next w:val="Normal"/>
    <w:link w:val="Heading5Char"/>
    <w:uiPriority w:val="99"/>
    <w:qFormat/>
    <w:rsid w:val="00946EB4"/>
    <w:pPr>
      <w:numPr>
        <w:ilvl w:val="4"/>
        <w:numId w:val="4"/>
      </w:numPr>
      <w:spacing w:before="240" w:after="60"/>
      <w:outlineLvl w:val="4"/>
    </w:pPr>
    <w:rPr>
      <w:b/>
      <w:bCs/>
      <w:i/>
      <w:iCs/>
      <w:sz w:val="26"/>
      <w:szCs w:val="26"/>
    </w:rPr>
  </w:style>
  <w:style w:type="paragraph" w:styleId="Heading6">
    <w:name w:val="heading 6"/>
    <w:basedOn w:val="Normal"/>
    <w:next w:val="Normal"/>
    <w:link w:val="Heading6Char"/>
    <w:uiPriority w:val="99"/>
    <w:qFormat/>
    <w:rsid w:val="00946EB4"/>
    <w:pPr>
      <w:numPr>
        <w:ilvl w:val="5"/>
        <w:numId w:val="4"/>
      </w:numPr>
      <w:spacing w:before="240" w:after="60"/>
      <w:outlineLvl w:val="5"/>
    </w:pPr>
    <w:rPr>
      <w:b/>
      <w:bCs/>
      <w:sz w:val="22"/>
      <w:szCs w:val="22"/>
    </w:rPr>
  </w:style>
  <w:style w:type="paragraph" w:styleId="Heading7">
    <w:name w:val="heading 7"/>
    <w:basedOn w:val="Normal"/>
    <w:next w:val="Normal"/>
    <w:link w:val="Heading7Char"/>
    <w:uiPriority w:val="99"/>
    <w:qFormat/>
    <w:rsid w:val="00946EB4"/>
    <w:pPr>
      <w:numPr>
        <w:ilvl w:val="6"/>
        <w:numId w:val="4"/>
      </w:numPr>
      <w:spacing w:before="240" w:after="60"/>
      <w:outlineLvl w:val="6"/>
    </w:pPr>
  </w:style>
  <w:style w:type="paragraph" w:styleId="Heading8">
    <w:name w:val="heading 8"/>
    <w:basedOn w:val="Normal"/>
    <w:next w:val="Normal"/>
    <w:link w:val="Heading8Char"/>
    <w:uiPriority w:val="99"/>
    <w:qFormat/>
    <w:rsid w:val="00946EB4"/>
    <w:pPr>
      <w:numPr>
        <w:ilvl w:val="7"/>
        <w:numId w:val="4"/>
      </w:numPr>
      <w:spacing w:before="240" w:after="60"/>
      <w:outlineLvl w:val="7"/>
    </w:pPr>
    <w:rPr>
      <w:i/>
      <w:iCs/>
    </w:rPr>
  </w:style>
  <w:style w:type="paragraph" w:styleId="Heading9">
    <w:name w:val="heading 9"/>
    <w:basedOn w:val="Normal"/>
    <w:next w:val="Normal"/>
    <w:link w:val="Heading9Char"/>
    <w:uiPriority w:val="99"/>
    <w:qFormat/>
    <w:rsid w:val="00946EB4"/>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6EB4"/>
    <w:rPr>
      <w:rFonts w:eastAsia="Times New Roman" w:cs="Times New Roman"/>
      <w:b/>
      <w:sz w:val="28"/>
      <w:szCs w:val="28"/>
      <w:u w:val="single"/>
      <w:lang w:val="fr-FR" w:eastAsia="fr-FR" w:bidi="ar-SA"/>
    </w:rPr>
  </w:style>
  <w:style w:type="character" w:customStyle="1" w:styleId="Heading2Char">
    <w:name w:val="Heading 2 Char"/>
    <w:basedOn w:val="DefaultParagraphFont"/>
    <w:link w:val="Heading2"/>
    <w:uiPriority w:val="99"/>
    <w:locked/>
    <w:rsid w:val="00946EB4"/>
    <w:rPr>
      <w:rFonts w:eastAsia="Times New Roman" w:cs="Arial"/>
      <w:b/>
      <w:bCs/>
      <w:iCs/>
      <w:sz w:val="26"/>
      <w:szCs w:val="26"/>
      <w:u w:val="single"/>
      <w:lang w:val="fr-FR" w:eastAsia="fr-FR" w:bidi="ar-SA"/>
    </w:rPr>
  </w:style>
  <w:style w:type="character" w:customStyle="1" w:styleId="Heading3Char">
    <w:name w:val="Heading 3 Char"/>
    <w:basedOn w:val="DefaultParagraphFont"/>
    <w:link w:val="Heading3"/>
    <w:uiPriority w:val="99"/>
    <w:locked/>
    <w:rsid w:val="00946EB4"/>
    <w:rPr>
      <w:rFonts w:ascii="Arial" w:eastAsia="Times New Roman" w:hAnsi="Arial" w:cs="Arial"/>
      <w:b/>
      <w:bCs/>
      <w:sz w:val="26"/>
      <w:szCs w:val="26"/>
      <w:lang w:val="fr-FR" w:eastAsia="fr-FR" w:bidi="ar-SA"/>
    </w:rPr>
  </w:style>
  <w:style w:type="character" w:customStyle="1" w:styleId="Heading4Char">
    <w:name w:val="Heading 4 Char"/>
    <w:basedOn w:val="DefaultParagraphFont"/>
    <w:link w:val="Heading4"/>
    <w:uiPriority w:val="99"/>
    <w:locked/>
    <w:rsid w:val="00946EB4"/>
    <w:rPr>
      <w:rFonts w:ascii="Times New Roman" w:eastAsia="Times New Roman" w:hAnsi="Times New Roman"/>
      <w:b/>
      <w:bCs/>
      <w:sz w:val="28"/>
      <w:szCs w:val="28"/>
    </w:rPr>
  </w:style>
  <w:style w:type="character" w:customStyle="1" w:styleId="Heading5Char">
    <w:name w:val="Heading 5 Char"/>
    <w:basedOn w:val="DefaultParagraphFont"/>
    <w:link w:val="Heading5"/>
    <w:uiPriority w:val="99"/>
    <w:locked/>
    <w:rsid w:val="00946EB4"/>
    <w:rPr>
      <w:rFonts w:ascii="Times New Roman" w:eastAsia="Times New Roman" w:hAnsi="Times New Roman"/>
      <w:b/>
      <w:bCs/>
      <w:i/>
      <w:iCs/>
      <w:sz w:val="26"/>
      <w:szCs w:val="26"/>
    </w:rPr>
  </w:style>
  <w:style w:type="character" w:customStyle="1" w:styleId="Heading6Char">
    <w:name w:val="Heading 6 Char"/>
    <w:basedOn w:val="DefaultParagraphFont"/>
    <w:link w:val="Heading6"/>
    <w:uiPriority w:val="99"/>
    <w:locked/>
    <w:rsid w:val="00946EB4"/>
    <w:rPr>
      <w:rFonts w:ascii="Times New Roman" w:eastAsia="Times New Roman" w:hAnsi="Times New Roman"/>
      <w:b/>
      <w:bCs/>
    </w:rPr>
  </w:style>
  <w:style w:type="character" w:customStyle="1" w:styleId="Heading7Char">
    <w:name w:val="Heading 7 Char"/>
    <w:basedOn w:val="DefaultParagraphFont"/>
    <w:link w:val="Heading7"/>
    <w:uiPriority w:val="99"/>
    <w:locked/>
    <w:rsid w:val="00946EB4"/>
    <w:rPr>
      <w:rFonts w:ascii="Times New Roman" w:eastAsia="Times New Roman" w:hAnsi="Times New Roman"/>
      <w:sz w:val="24"/>
      <w:szCs w:val="24"/>
    </w:rPr>
  </w:style>
  <w:style w:type="character" w:customStyle="1" w:styleId="Heading8Char">
    <w:name w:val="Heading 8 Char"/>
    <w:basedOn w:val="DefaultParagraphFont"/>
    <w:link w:val="Heading8"/>
    <w:uiPriority w:val="99"/>
    <w:locked/>
    <w:rsid w:val="00946EB4"/>
    <w:rPr>
      <w:rFonts w:ascii="Times New Roman" w:eastAsia="Times New Roman" w:hAnsi="Times New Roman"/>
      <w:i/>
      <w:iCs/>
      <w:sz w:val="24"/>
      <w:szCs w:val="24"/>
    </w:rPr>
  </w:style>
  <w:style w:type="character" w:customStyle="1" w:styleId="Heading9Char">
    <w:name w:val="Heading 9 Char"/>
    <w:basedOn w:val="DefaultParagraphFont"/>
    <w:link w:val="Heading9"/>
    <w:uiPriority w:val="99"/>
    <w:locked/>
    <w:rsid w:val="00946EB4"/>
    <w:rPr>
      <w:rFonts w:ascii="Arial" w:eastAsia="Times New Roman" w:hAnsi="Arial" w:cs="Arial"/>
    </w:rPr>
  </w:style>
  <w:style w:type="paragraph" w:customStyle="1" w:styleId="Datelettre">
    <w:name w:val="Date lettre"/>
    <w:basedOn w:val="Normal"/>
    <w:uiPriority w:val="99"/>
    <w:rsid w:val="00946EB4"/>
    <w:pPr>
      <w:autoSpaceDE w:val="0"/>
      <w:autoSpaceDN w:val="0"/>
      <w:spacing w:after="480"/>
      <w:ind w:left="357" w:right="357"/>
      <w:jc w:val="right"/>
    </w:pPr>
    <w:rPr>
      <w:noProof/>
      <w:sz w:val="20"/>
      <w:szCs w:val="20"/>
      <w:lang w:val="en-US"/>
    </w:rPr>
  </w:style>
  <w:style w:type="paragraph" w:styleId="Header">
    <w:name w:val="header"/>
    <w:aliases w:val="Car1"/>
    <w:basedOn w:val="Normal"/>
    <w:link w:val="HeaderChar"/>
    <w:uiPriority w:val="99"/>
    <w:rsid w:val="00946EB4"/>
    <w:pPr>
      <w:tabs>
        <w:tab w:val="center" w:pos="4536"/>
        <w:tab w:val="right" w:pos="9072"/>
      </w:tabs>
      <w:jc w:val="both"/>
    </w:pPr>
    <w:rPr>
      <w:szCs w:val="20"/>
    </w:rPr>
  </w:style>
  <w:style w:type="character" w:customStyle="1" w:styleId="HeaderChar">
    <w:name w:val="Header Char"/>
    <w:aliases w:val="Car1 Char"/>
    <w:basedOn w:val="DefaultParagraphFont"/>
    <w:link w:val="Header"/>
    <w:uiPriority w:val="99"/>
    <w:locked/>
    <w:rsid w:val="00946EB4"/>
    <w:rPr>
      <w:rFonts w:ascii="Times New Roman" w:hAnsi="Times New Roman" w:cs="Times New Roman"/>
      <w:sz w:val="20"/>
      <w:szCs w:val="20"/>
      <w:lang w:eastAsia="fr-FR"/>
    </w:rPr>
  </w:style>
  <w:style w:type="paragraph" w:styleId="ListBullet">
    <w:name w:val="List Bullet"/>
    <w:basedOn w:val="Normal"/>
    <w:uiPriority w:val="99"/>
    <w:rsid w:val="00946EB4"/>
    <w:pPr>
      <w:numPr>
        <w:numId w:val="2"/>
      </w:numPr>
    </w:pPr>
  </w:style>
  <w:style w:type="character" w:styleId="CommentReference">
    <w:name w:val="annotation reference"/>
    <w:basedOn w:val="DefaultParagraphFont"/>
    <w:uiPriority w:val="99"/>
    <w:rsid w:val="00946EB4"/>
    <w:rPr>
      <w:rFonts w:cs="Times New Roman"/>
      <w:sz w:val="16"/>
      <w:szCs w:val="16"/>
    </w:rPr>
  </w:style>
  <w:style w:type="paragraph" w:styleId="CommentText">
    <w:name w:val="annotation text"/>
    <w:basedOn w:val="Normal"/>
    <w:link w:val="CommentTextChar"/>
    <w:uiPriority w:val="99"/>
    <w:rsid w:val="00946EB4"/>
    <w:rPr>
      <w:sz w:val="20"/>
      <w:szCs w:val="20"/>
    </w:rPr>
  </w:style>
  <w:style w:type="character" w:customStyle="1" w:styleId="CommentTextChar">
    <w:name w:val="Comment Text Char"/>
    <w:basedOn w:val="DefaultParagraphFont"/>
    <w:link w:val="CommentText"/>
    <w:uiPriority w:val="99"/>
    <w:locked/>
    <w:rsid w:val="00946EB4"/>
    <w:rPr>
      <w:rFonts w:ascii="Times New Roman" w:hAnsi="Times New Roman" w:cs="Times New Roman"/>
      <w:sz w:val="20"/>
      <w:szCs w:val="20"/>
      <w:lang w:eastAsia="fr-FR"/>
    </w:rPr>
  </w:style>
  <w:style w:type="paragraph" w:styleId="CommentSubject">
    <w:name w:val="annotation subject"/>
    <w:basedOn w:val="CommentText"/>
    <w:next w:val="CommentText"/>
    <w:link w:val="CommentSubjectChar"/>
    <w:uiPriority w:val="99"/>
    <w:semiHidden/>
    <w:rsid w:val="00946EB4"/>
    <w:rPr>
      <w:b/>
      <w:bCs/>
    </w:rPr>
  </w:style>
  <w:style w:type="character" w:customStyle="1" w:styleId="CommentSubjectChar">
    <w:name w:val="Comment Subject Char"/>
    <w:basedOn w:val="CommentTextChar"/>
    <w:link w:val="CommentSubject"/>
    <w:uiPriority w:val="99"/>
    <w:semiHidden/>
    <w:locked/>
    <w:rsid w:val="00946EB4"/>
    <w:rPr>
      <w:b/>
      <w:bCs/>
    </w:rPr>
  </w:style>
  <w:style w:type="paragraph" w:styleId="BalloonText">
    <w:name w:val="Balloon Text"/>
    <w:basedOn w:val="Normal"/>
    <w:link w:val="BalloonTextChar"/>
    <w:uiPriority w:val="99"/>
    <w:semiHidden/>
    <w:rsid w:val="00946EB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6EB4"/>
    <w:rPr>
      <w:rFonts w:ascii="Tahoma" w:hAnsi="Tahoma" w:cs="Tahoma"/>
      <w:sz w:val="16"/>
      <w:szCs w:val="16"/>
      <w:lang w:eastAsia="fr-FR"/>
    </w:rPr>
  </w:style>
  <w:style w:type="paragraph" w:styleId="DocumentMap">
    <w:name w:val="Document Map"/>
    <w:basedOn w:val="Normal"/>
    <w:link w:val="DocumentMapChar"/>
    <w:uiPriority w:val="99"/>
    <w:semiHidden/>
    <w:rsid w:val="00946EB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46EB4"/>
    <w:rPr>
      <w:rFonts w:ascii="Tahoma" w:hAnsi="Tahoma" w:cs="Tahoma"/>
      <w:sz w:val="20"/>
      <w:szCs w:val="20"/>
      <w:shd w:val="clear" w:color="auto" w:fill="000080"/>
      <w:lang w:eastAsia="fr-FR"/>
    </w:rPr>
  </w:style>
  <w:style w:type="paragraph" w:styleId="Footer">
    <w:name w:val="footer"/>
    <w:basedOn w:val="Normal"/>
    <w:link w:val="FooterChar"/>
    <w:uiPriority w:val="99"/>
    <w:rsid w:val="00946EB4"/>
    <w:pPr>
      <w:tabs>
        <w:tab w:val="center" w:pos="4536"/>
        <w:tab w:val="right" w:pos="9072"/>
      </w:tabs>
    </w:pPr>
  </w:style>
  <w:style w:type="character" w:customStyle="1" w:styleId="FooterChar">
    <w:name w:val="Footer Char"/>
    <w:basedOn w:val="DefaultParagraphFont"/>
    <w:link w:val="Footer"/>
    <w:uiPriority w:val="99"/>
    <w:locked/>
    <w:rsid w:val="00946EB4"/>
    <w:rPr>
      <w:rFonts w:ascii="Times New Roman" w:hAnsi="Times New Roman" w:cs="Times New Roman"/>
      <w:sz w:val="24"/>
      <w:szCs w:val="24"/>
      <w:lang w:eastAsia="fr-FR"/>
    </w:rPr>
  </w:style>
  <w:style w:type="paragraph" w:customStyle="1" w:styleId="Expditeur">
    <w:name w:val="Expéditeur"/>
    <w:basedOn w:val="Normal"/>
    <w:uiPriority w:val="99"/>
    <w:rsid w:val="00946EB4"/>
    <w:pPr>
      <w:pBdr>
        <w:bottom w:val="dotted" w:sz="12" w:space="1" w:color="008080"/>
      </w:pBdr>
      <w:autoSpaceDE w:val="0"/>
      <w:autoSpaceDN w:val="0"/>
      <w:ind w:left="360" w:right="360"/>
    </w:pPr>
    <w:rPr>
      <w:caps/>
      <w:noProof/>
      <w:color w:val="008080"/>
      <w:sz w:val="32"/>
      <w:szCs w:val="32"/>
      <w:lang w:val="en-US"/>
    </w:rPr>
  </w:style>
  <w:style w:type="table" w:styleId="TableGrid">
    <w:name w:val="Table Grid"/>
    <w:basedOn w:val="TableNormal"/>
    <w:uiPriority w:val="99"/>
    <w:rsid w:val="00946EB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46EB4"/>
    <w:rPr>
      <w:rFonts w:ascii="Times New Roman" w:eastAsia="Times New Roman" w:hAnsi="Times New Roman"/>
      <w:sz w:val="24"/>
      <w:szCs w:val="24"/>
    </w:rPr>
  </w:style>
  <w:style w:type="paragraph" w:styleId="ListParagraph">
    <w:name w:val="List Paragraph"/>
    <w:basedOn w:val="Normal"/>
    <w:link w:val="ListParagraphChar"/>
    <w:uiPriority w:val="99"/>
    <w:qFormat/>
    <w:rsid w:val="00946EB4"/>
    <w:pPr>
      <w:ind w:left="720"/>
      <w:contextualSpacing/>
    </w:pPr>
  </w:style>
  <w:style w:type="paragraph" w:styleId="TOCHeading">
    <w:name w:val="TOC Heading"/>
    <w:basedOn w:val="Heading1"/>
    <w:next w:val="Normal"/>
    <w:uiPriority w:val="99"/>
    <w:qFormat/>
    <w:rsid w:val="00946EB4"/>
    <w:pPr>
      <w:keepNext/>
      <w:keepLines/>
      <w:numPr>
        <w:numId w:val="0"/>
      </w:numPr>
      <w:spacing w:before="480" w:line="276" w:lineRule="auto"/>
      <w:jc w:val="left"/>
      <w:outlineLvl w:val="9"/>
    </w:pPr>
    <w:rPr>
      <w:rFonts w:ascii="Cambria" w:hAnsi="Cambria"/>
      <w:bCs/>
      <w:shadow/>
      <w:color w:val="365F91"/>
      <w:u w:val="none"/>
      <w:lang w:eastAsia="en-US"/>
    </w:rPr>
  </w:style>
  <w:style w:type="paragraph" w:styleId="TOC1">
    <w:name w:val="toc 1"/>
    <w:basedOn w:val="Normal"/>
    <w:next w:val="Normal"/>
    <w:autoRedefine/>
    <w:uiPriority w:val="99"/>
    <w:rsid w:val="00946EB4"/>
    <w:pPr>
      <w:spacing w:after="100"/>
    </w:pPr>
  </w:style>
  <w:style w:type="paragraph" w:styleId="TOC2">
    <w:name w:val="toc 2"/>
    <w:basedOn w:val="Normal"/>
    <w:next w:val="Normal"/>
    <w:autoRedefine/>
    <w:uiPriority w:val="99"/>
    <w:rsid w:val="006D407E"/>
    <w:pPr>
      <w:tabs>
        <w:tab w:val="left" w:pos="880"/>
        <w:tab w:val="left" w:pos="2604"/>
        <w:tab w:val="right" w:leader="dot" w:pos="9062"/>
      </w:tabs>
      <w:spacing w:after="100"/>
      <w:ind w:left="840" w:hanging="600"/>
      <w:jc w:val="both"/>
    </w:pPr>
  </w:style>
  <w:style w:type="character" w:styleId="Hyperlink">
    <w:name w:val="Hyperlink"/>
    <w:basedOn w:val="DefaultParagraphFont"/>
    <w:uiPriority w:val="99"/>
    <w:rsid w:val="00946EB4"/>
    <w:rPr>
      <w:rFonts w:cs="Times New Roman"/>
      <w:color w:val="0000FF"/>
      <w:u w:val="single"/>
    </w:rPr>
  </w:style>
  <w:style w:type="paragraph" w:styleId="FootnoteText">
    <w:name w:val="footnote text"/>
    <w:basedOn w:val="Normal"/>
    <w:link w:val="FootnoteTextChar"/>
    <w:uiPriority w:val="99"/>
    <w:semiHidden/>
    <w:rsid w:val="00946EB4"/>
    <w:rPr>
      <w:sz w:val="20"/>
      <w:szCs w:val="20"/>
    </w:rPr>
  </w:style>
  <w:style w:type="character" w:customStyle="1" w:styleId="FootnoteTextChar">
    <w:name w:val="Footnote Text Char"/>
    <w:basedOn w:val="DefaultParagraphFont"/>
    <w:link w:val="FootnoteText"/>
    <w:uiPriority w:val="99"/>
    <w:semiHidden/>
    <w:locked/>
    <w:rsid w:val="00946EB4"/>
    <w:rPr>
      <w:rFonts w:ascii="Times New Roman" w:hAnsi="Times New Roman" w:cs="Times New Roman"/>
      <w:sz w:val="20"/>
      <w:szCs w:val="20"/>
      <w:lang w:eastAsia="fr-FR"/>
    </w:rPr>
  </w:style>
  <w:style w:type="character" w:styleId="FootnoteReference">
    <w:name w:val="footnote reference"/>
    <w:basedOn w:val="DefaultParagraphFont"/>
    <w:uiPriority w:val="99"/>
    <w:semiHidden/>
    <w:rsid w:val="00946EB4"/>
    <w:rPr>
      <w:rFonts w:cs="Times New Roman"/>
      <w:vertAlign w:val="superscript"/>
    </w:rPr>
  </w:style>
  <w:style w:type="paragraph" w:customStyle="1" w:styleId="Adressedelexpditeur">
    <w:name w:val="Adresse de l'expéditeur"/>
    <w:basedOn w:val="Normal"/>
    <w:uiPriority w:val="99"/>
    <w:rsid w:val="00946EB4"/>
    <w:pPr>
      <w:autoSpaceDE w:val="0"/>
      <w:autoSpaceDN w:val="0"/>
      <w:ind w:left="360" w:right="360"/>
    </w:pPr>
    <w:rPr>
      <w:noProof/>
      <w:color w:val="C0C0C0"/>
      <w:sz w:val="20"/>
      <w:szCs w:val="20"/>
      <w:lang w:val="en-US"/>
    </w:rPr>
  </w:style>
  <w:style w:type="paragraph" w:customStyle="1" w:styleId="StyleTitre1Crnage16pt">
    <w:name w:val="Style Titre 1 + Crénage 16 pt"/>
    <w:basedOn w:val="Heading1"/>
    <w:uiPriority w:val="99"/>
    <w:rsid w:val="00946EB4"/>
    <w:pPr>
      <w:numPr>
        <w:numId w:val="0"/>
      </w:numPr>
    </w:pPr>
    <w:rPr>
      <w:bCs/>
      <w:kern w:val="32"/>
    </w:rPr>
  </w:style>
  <w:style w:type="paragraph" w:customStyle="1" w:styleId="t1">
    <w:name w:val="t1"/>
    <w:basedOn w:val="Normal"/>
    <w:uiPriority w:val="99"/>
    <w:rsid w:val="00946EB4"/>
    <w:pPr>
      <w:numPr>
        <w:numId w:val="4"/>
      </w:numPr>
    </w:pPr>
  </w:style>
  <w:style w:type="paragraph" w:customStyle="1" w:styleId="StyleTitre1Gauche0cmPremireligne0cm">
    <w:name w:val="Style Titre 1 + Gauche :  0 cm Première ligne : 0 cm"/>
    <w:basedOn w:val="Heading1"/>
    <w:uiPriority w:val="99"/>
    <w:rsid w:val="00946EB4"/>
    <w:pPr>
      <w:ind w:left="0" w:firstLine="0"/>
    </w:pPr>
    <w:rPr>
      <w:bCs/>
    </w:rPr>
  </w:style>
  <w:style w:type="paragraph" w:customStyle="1" w:styleId="StyleTitre1Gauche0cmPremireligne0cm1">
    <w:name w:val="Style Titre 1 + Gauche :  0 cm Première ligne : 0 cm1"/>
    <w:basedOn w:val="Heading1"/>
    <w:uiPriority w:val="99"/>
    <w:rsid w:val="00946EB4"/>
    <w:pPr>
      <w:ind w:left="0" w:firstLine="0"/>
    </w:pPr>
    <w:rPr>
      <w:bCs/>
    </w:rPr>
  </w:style>
  <w:style w:type="paragraph" w:customStyle="1" w:styleId="CarCarCarCarCarCar">
    <w:name w:val="Car Car Car Car Car Car"/>
    <w:basedOn w:val="Normal"/>
    <w:uiPriority w:val="99"/>
    <w:semiHidden/>
    <w:rsid w:val="00946EB4"/>
    <w:pPr>
      <w:spacing w:before="60" w:after="160" w:line="240" w:lineRule="exact"/>
    </w:pPr>
    <w:rPr>
      <w:rFonts w:ascii="Verdana" w:hAnsi="Verdana"/>
      <w:sz w:val="20"/>
      <w:szCs w:val="20"/>
      <w:lang w:eastAsia="en-US"/>
    </w:rPr>
  </w:style>
  <w:style w:type="paragraph" w:styleId="TOC3">
    <w:name w:val="toc 3"/>
    <w:basedOn w:val="Normal"/>
    <w:next w:val="Normal"/>
    <w:autoRedefine/>
    <w:uiPriority w:val="99"/>
    <w:rsid w:val="00946EB4"/>
    <w:pPr>
      <w:ind w:left="480"/>
    </w:pPr>
  </w:style>
  <w:style w:type="character" w:styleId="FollowedHyperlink">
    <w:name w:val="FollowedHyperlink"/>
    <w:basedOn w:val="DefaultParagraphFont"/>
    <w:uiPriority w:val="99"/>
    <w:semiHidden/>
    <w:rsid w:val="00946EB4"/>
    <w:rPr>
      <w:rFonts w:cs="Times New Roman"/>
      <w:color w:val="800080"/>
      <w:u w:val="single"/>
    </w:rPr>
  </w:style>
  <w:style w:type="paragraph" w:customStyle="1" w:styleId="xl65">
    <w:name w:val="xl65"/>
    <w:basedOn w:val="Normal"/>
    <w:uiPriority w:val="99"/>
    <w:rsid w:val="00946EB4"/>
    <w:pPr>
      <w:pBdr>
        <w:top w:val="single" w:sz="8" w:space="0" w:color="auto"/>
        <w:left w:val="single" w:sz="8" w:space="0" w:color="auto"/>
        <w:right w:val="single" w:sz="4" w:space="0" w:color="auto"/>
      </w:pBdr>
      <w:spacing w:before="100" w:beforeAutospacing="1" w:after="100" w:afterAutospacing="1"/>
      <w:textAlignment w:val="center"/>
    </w:pPr>
  </w:style>
  <w:style w:type="paragraph" w:customStyle="1" w:styleId="xl66">
    <w:name w:val="xl66"/>
    <w:basedOn w:val="Normal"/>
    <w:uiPriority w:val="99"/>
    <w:rsid w:val="00946EB4"/>
    <w:pPr>
      <w:pBdr>
        <w:top w:val="single" w:sz="8" w:space="0" w:color="auto"/>
        <w:left w:val="single" w:sz="4" w:space="0" w:color="auto"/>
        <w:right w:val="single" w:sz="4" w:space="0" w:color="auto"/>
      </w:pBdr>
      <w:spacing w:before="100" w:beforeAutospacing="1" w:after="100" w:afterAutospacing="1"/>
      <w:textAlignment w:val="center"/>
    </w:pPr>
  </w:style>
  <w:style w:type="paragraph" w:customStyle="1" w:styleId="xl67">
    <w:name w:val="xl67"/>
    <w:basedOn w:val="Normal"/>
    <w:uiPriority w:val="99"/>
    <w:rsid w:val="00946EB4"/>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68">
    <w:name w:val="xl68"/>
    <w:basedOn w:val="Normal"/>
    <w:uiPriority w:val="99"/>
    <w:rsid w:val="00946EB4"/>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Normal"/>
    <w:uiPriority w:val="99"/>
    <w:rsid w:val="00946EB4"/>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Normal"/>
    <w:uiPriority w:val="99"/>
    <w:rsid w:val="00946EB4"/>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
    <w:uiPriority w:val="99"/>
    <w:rsid w:val="00946EB4"/>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72">
    <w:name w:val="xl72"/>
    <w:basedOn w:val="Normal"/>
    <w:uiPriority w:val="99"/>
    <w:rsid w:val="00946EB4"/>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73">
    <w:name w:val="xl73"/>
    <w:basedOn w:val="Normal"/>
    <w:uiPriority w:val="99"/>
    <w:rsid w:val="00946EB4"/>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textAlignment w:val="center"/>
    </w:pPr>
  </w:style>
  <w:style w:type="paragraph" w:customStyle="1" w:styleId="xl74">
    <w:name w:val="xl74"/>
    <w:basedOn w:val="Normal"/>
    <w:uiPriority w:val="99"/>
    <w:rsid w:val="00946EB4"/>
    <w:pPr>
      <w:pBdr>
        <w:left w:val="single" w:sz="8" w:space="0" w:color="auto"/>
        <w:right w:val="single" w:sz="4" w:space="0" w:color="auto"/>
      </w:pBdr>
      <w:spacing w:before="100" w:beforeAutospacing="1" w:after="100" w:afterAutospacing="1"/>
      <w:textAlignment w:val="center"/>
    </w:pPr>
  </w:style>
  <w:style w:type="paragraph" w:customStyle="1" w:styleId="xl75">
    <w:name w:val="xl75"/>
    <w:basedOn w:val="Normal"/>
    <w:uiPriority w:val="99"/>
    <w:rsid w:val="00946EB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Normal"/>
    <w:uiPriority w:val="99"/>
    <w:rsid w:val="00946EB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77">
    <w:name w:val="xl77"/>
    <w:basedOn w:val="Normal"/>
    <w:uiPriority w:val="99"/>
    <w:rsid w:val="00946EB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
    <w:uiPriority w:val="99"/>
    <w:rsid w:val="00946E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Normal"/>
    <w:uiPriority w:val="99"/>
    <w:rsid w:val="00946E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Normal"/>
    <w:uiPriority w:val="99"/>
    <w:rsid w:val="00946EB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81">
    <w:name w:val="xl81"/>
    <w:basedOn w:val="Normal"/>
    <w:uiPriority w:val="99"/>
    <w:rsid w:val="00946EB4"/>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textAlignment w:val="center"/>
    </w:pPr>
  </w:style>
  <w:style w:type="paragraph" w:customStyle="1" w:styleId="xl82">
    <w:name w:val="xl82"/>
    <w:basedOn w:val="Normal"/>
    <w:uiPriority w:val="99"/>
    <w:rsid w:val="00946EB4"/>
    <w:pPr>
      <w:pBdr>
        <w:left w:val="single" w:sz="4" w:space="0" w:color="auto"/>
        <w:right w:val="single" w:sz="4" w:space="0" w:color="auto"/>
      </w:pBdr>
      <w:spacing w:before="100" w:beforeAutospacing="1" w:after="100" w:afterAutospacing="1"/>
      <w:textAlignment w:val="center"/>
    </w:pPr>
  </w:style>
  <w:style w:type="paragraph" w:customStyle="1" w:styleId="xl83">
    <w:name w:val="xl83"/>
    <w:basedOn w:val="Normal"/>
    <w:uiPriority w:val="99"/>
    <w:rsid w:val="00946EB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84">
    <w:name w:val="xl84"/>
    <w:basedOn w:val="Normal"/>
    <w:uiPriority w:val="99"/>
    <w:rsid w:val="00946EB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Normal"/>
    <w:uiPriority w:val="99"/>
    <w:rsid w:val="00946E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Normal"/>
    <w:uiPriority w:val="99"/>
    <w:rsid w:val="00946E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Normal"/>
    <w:uiPriority w:val="99"/>
    <w:rsid w:val="00946EB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88">
    <w:name w:val="xl88"/>
    <w:basedOn w:val="Normal"/>
    <w:uiPriority w:val="99"/>
    <w:rsid w:val="00946EB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Normal"/>
    <w:uiPriority w:val="99"/>
    <w:rsid w:val="00946EB4"/>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textAlignment w:val="center"/>
    </w:pPr>
  </w:style>
  <w:style w:type="paragraph" w:customStyle="1" w:styleId="xl90">
    <w:name w:val="xl90"/>
    <w:basedOn w:val="Normal"/>
    <w:uiPriority w:val="99"/>
    <w:rsid w:val="00946EB4"/>
    <w:pPr>
      <w:pBdr>
        <w:left w:val="single" w:sz="8" w:space="0" w:color="auto"/>
        <w:bottom w:val="single" w:sz="8" w:space="0" w:color="auto"/>
        <w:right w:val="single" w:sz="4" w:space="0" w:color="auto"/>
      </w:pBdr>
      <w:spacing w:before="100" w:beforeAutospacing="1" w:after="100" w:afterAutospacing="1"/>
      <w:textAlignment w:val="center"/>
    </w:pPr>
  </w:style>
  <w:style w:type="paragraph" w:customStyle="1" w:styleId="xl91">
    <w:name w:val="xl91"/>
    <w:basedOn w:val="Normal"/>
    <w:uiPriority w:val="99"/>
    <w:rsid w:val="00946EB4"/>
    <w:pPr>
      <w:pBdr>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92">
    <w:name w:val="xl92"/>
    <w:basedOn w:val="Normal"/>
    <w:uiPriority w:val="99"/>
    <w:rsid w:val="00946EB4"/>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style>
  <w:style w:type="paragraph" w:customStyle="1" w:styleId="xl93">
    <w:name w:val="xl93"/>
    <w:basedOn w:val="Normal"/>
    <w:uiPriority w:val="99"/>
    <w:rsid w:val="00946EB4"/>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style>
  <w:style w:type="paragraph" w:customStyle="1" w:styleId="xl94">
    <w:name w:val="xl94"/>
    <w:basedOn w:val="Normal"/>
    <w:uiPriority w:val="99"/>
    <w:rsid w:val="00946EB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95">
    <w:name w:val="xl95"/>
    <w:basedOn w:val="Normal"/>
    <w:uiPriority w:val="99"/>
    <w:rsid w:val="00946EB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96">
    <w:name w:val="xl96"/>
    <w:basedOn w:val="Normal"/>
    <w:uiPriority w:val="99"/>
    <w:rsid w:val="00946EB4"/>
    <w:pPr>
      <w:pBdr>
        <w:top w:val="single" w:sz="4" w:space="0" w:color="auto"/>
        <w:left w:val="single" w:sz="4" w:space="0" w:color="auto"/>
        <w:bottom w:val="single" w:sz="8" w:space="0" w:color="auto"/>
        <w:right w:val="single" w:sz="8" w:space="0" w:color="auto"/>
      </w:pBdr>
      <w:shd w:val="clear" w:color="000000" w:fill="C0C0C0"/>
      <w:spacing w:before="100" w:beforeAutospacing="1" w:after="100" w:afterAutospacing="1"/>
      <w:textAlignment w:val="center"/>
    </w:pPr>
  </w:style>
  <w:style w:type="paragraph" w:customStyle="1" w:styleId="xl97">
    <w:name w:val="xl97"/>
    <w:basedOn w:val="Normal"/>
    <w:uiPriority w:val="99"/>
    <w:rsid w:val="00946E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rPr>
  </w:style>
  <w:style w:type="paragraph" w:customStyle="1" w:styleId="xl98">
    <w:name w:val="xl98"/>
    <w:basedOn w:val="Normal"/>
    <w:uiPriority w:val="99"/>
    <w:rsid w:val="00946EB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color w:val="0000FF"/>
    </w:rPr>
  </w:style>
  <w:style w:type="paragraph" w:customStyle="1" w:styleId="xl99">
    <w:name w:val="xl99"/>
    <w:basedOn w:val="Normal"/>
    <w:uiPriority w:val="99"/>
    <w:rsid w:val="00946EB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color w:val="0000FF"/>
    </w:rPr>
  </w:style>
  <w:style w:type="paragraph" w:customStyle="1" w:styleId="xl100">
    <w:name w:val="xl100"/>
    <w:basedOn w:val="Normal"/>
    <w:uiPriority w:val="99"/>
    <w:rsid w:val="00946EB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0000FF"/>
    </w:rPr>
  </w:style>
  <w:style w:type="paragraph" w:customStyle="1" w:styleId="xl101">
    <w:name w:val="xl101"/>
    <w:basedOn w:val="Normal"/>
    <w:uiPriority w:val="99"/>
    <w:rsid w:val="00946EB4"/>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color w:val="0000FF"/>
    </w:rPr>
  </w:style>
  <w:style w:type="paragraph" w:customStyle="1" w:styleId="xl102">
    <w:name w:val="xl102"/>
    <w:basedOn w:val="Normal"/>
    <w:uiPriority w:val="99"/>
    <w:rsid w:val="00946EB4"/>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color w:val="0000FF"/>
    </w:rPr>
  </w:style>
  <w:style w:type="paragraph" w:customStyle="1" w:styleId="xl103">
    <w:name w:val="xl103"/>
    <w:basedOn w:val="Normal"/>
    <w:uiPriority w:val="99"/>
    <w:rsid w:val="00946EB4"/>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104">
    <w:name w:val="xl104"/>
    <w:basedOn w:val="Normal"/>
    <w:uiPriority w:val="99"/>
    <w:rsid w:val="00946EB4"/>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105">
    <w:name w:val="xl105"/>
    <w:basedOn w:val="Normal"/>
    <w:uiPriority w:val="99"/>
    <w:rsid w:val="00946EB4"/>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106">
    <w:name w:val="xl106"/>
    <w:basedOn w:val="Normal"/>
    <w:uiPriority w:val="99"/>
    <w:rsid w:val="00946EB4"/>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textAlignment w:val="center"/>
    </w:pPr>
  </w:style>
  <w:style w:type="paragraph" w:customStyle="1" w:styleId="xl107">
    <w:name w:val="xl107"/>
    <w:basedOn w:val="Normal"/>
    <w:uiPriority w:val="99"/>
    <w:rsid w:val="00946EB4"/>
    <w:pPr>
      <w:pBdr>
        <w:top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108">
    <w:name w:val="xl108"/>
    <w:basedOn w:val="Normal"/>
    <w:uiPriority w:val="99"/>
    <w:rsid w:val="00946EB4"/>
    <w:pPr>
      <w:pBdr>
        <w:top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09">
    <w:name w:val="xl109"/>
    <w:basedOn w:val="Normal"/>
    <w:uiPriority w:val="99"/>
    <w:rsid w:val="00946EB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10">
    <w:name w:val="xl110"/>
    <w:basedOn w:val="Normal"/>
    <w:uiPriority w:val="99"/>
    <w:rsid w:val="00946E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1">
    <w:name w:val="xl111"/>
    <w:basedOn w:val="Normal"/>
    <w:uiPriority w:val="99"/>
    <w:rsid w:val="00946E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2">
    <w:name w:val="xl112"/>
    <w:basedOn w:val="Normal"/>
    <w:uiPriority w:val="99"/>
    <w:rsid w:val="00946EB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13">
    <w:name w:val="xl113"/>
    <w:basedOn w:val="Normal"/>
    <w:uiPriority w:val="99"/>
    <w:rsid w:val="00946EB4"/>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114">
    <w:name w:val="xl114"/>
    <w:basedOn w:val="Normal"/>
    <w:uiPriority w:val="99"/>
    <w:rsid w:val="00946EB4"/>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textAlignment w:val="center"/>
    </w:pPr>
  </w:style>
  <w:style w:type="paragraph" w:customStyle="1" w:styleId="xl115">
    <w:name w:val="xl115"/>
    <w:basedOn w:val="Normal"/>
    <w:uiPriority w:val="99"/>
    <w:rsid w:val="00946EB4"/>
    <w:pPr>
      <w:pBdr>
        <w:top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16">
    <w:name w:val="xl116"/>
    <w:basedOn w:val="Normal"/>
    <w:uiPriority w:val="99"/>
    <w:rsid w:val="00946EB4"/>
    <w:pPr>
      <w:pBdr>
        <w:top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17">
    <w:name w:val="xl117"/>
    <w:basedOn w:val="Normal"/>
    <w:uiPriority w:val="99"/>
    <w:rsid w:val="00946EB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color w:val="0000FF"/>
    </w:rPr>
  </w:style>
  <w:style w:type="paragraph" w:customStyle="1" w:styleId="xl118">
    <w:name w:val="xl118"/>
    <w:basedOn w:val="Normal"/>
    <w:uiPriority w:val="99"/>
    <w:rsid w:val="00946E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rPr>
  </w:style>
  <w:style w:type="paragraph" w:customStyle="1" w:styleId="xl119">
    <w:name w:val="xl119"/>
    <w:basedOn w:val="Normal"/>
    <w:uiPriority w:val="99"/>
    <w:rsid w:val="00946E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rPr>
  </w:style>
  <w:style w:type="paragraph" w:customStyle="1" w:styleId="xl120">
    <w:name w:val="xl120"/>
    <w:basedOn w:val="Normal"/>
    <w:uiPriority w:val="99"/>
    <w:rsid w:val="00946EB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color w:val="0000FF"/>
    </w:rPr>
  </w:style>
  <w:style w:type="paragraph" w:customStyle="1" w:styleId="xl121">
    <w:name w:val="xl121"/>
    <w:basedOn w:val="Normal"/>
    <w:uiPriority w:val="99"/>
    <w:rsid w:val="00946EB4"/>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textAlignment w:val="center"/>
    </w:pPr>
    <w:rPr>
      <w:color w:val="0000FF"/>
    </w:rPr>
  </w:style>
  <w:style w:type="paragraph" w:customStyle="1" w:styleId="xl122">
    <w:name w:val="xl122"/>
    <w:basedOn w:val="Normal"/>
    <w:uiPriority w:val="99"/>
    <w:rsid w:val="00946EB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color w:val="0000FF"/>
    </w:rPr>
  </w:style>
  <w:style w:type="paragraph" w:customStyle="1" w:styleId="xl123">
    <w:name w:val="xl123"/>
    <w:basedOn w:val="Normal"/>
    <w:uiPriority w:val="99"/>
    <w:rsid w:val="00946E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rPr>
  </w:style>
  <w:style w:type="paragraph" w:customStyle="1" w:styleId="xl124">
    <w:name w:val="xl124"/>
    <w:basedOn w:val="Normal"/>
    <w:uiPriority w:val="99"/>
    <w:rsid w:val="00946E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rPr>
  </w:style>
  <w:style w:type="paragraph" w:customStyle="1" w:styleId="xl125">
    <w:name w:val="xl125"/>
    <w:basedOn w:val="Normal"/>
    <w:uiPriority w:val="99"/>
    <w:rsid w:val="00946EB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color w:val="0000FF"/>
    </w:rPr>
  </w:style>
  <w:style w:type="paragraph" w:customStyle="1" w:styleId="xl126">
    <w:name w:val="xl126"/>
    <w:basedOn w:val="Normal"/>
    <w:uiPriority w:val="99"/>
    <w:rsid w:val="00946EB4"/>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textAlignment w:val="center"/>
    </w:pPr>
    <w:rPr>
      <w:color w:val="0000FF"/>
    </w:rPr>
  </w:style>
  <w:style w:type="paragraph" w:customStyle="1" w:styleId="xl127">
    <w:name w:val="xl127"/>
    <w:basedOn w:val="Normal"/>
    <w:uiPriority w:val="99"/>
    <w:rsid w:val="00946EB4"/>
    <w:pPr>
      <w:pBdr>
        <w:top w:val="single" w:sz="4" w:space="0" w:color="auto"/>
        <w:bottom w:val="single" w:sz="8" w:space="0" w:color="auto"/>
        <w:right w:val="single" w:sz="8" w:space="0" w:color="auto"/>
      </w:pBdr>
      <w:spacing w:before="100" w:beforeAutospacing="1" w:after="100" w:afterAutospacing="1"/>
      <w:textAlignment w:val="center"/>
    </w:pPr>
  </w:style>
  <w:style w:type="paragraph" w:customStyle="1" w:styleId="xl128">
    <w:name w:val="xl128"/>
    <w:basedOn w:val="Normal"/>
    <w:uiPriority w:val="99"/>
    <w:rsid w:val="00946EB4"/>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color w:val="0000FF"/>
    </w:rPr>
  </w:style>
  <w:style w:type="paragraph" w:customStyle="1" w:styleId="xl129">
    <w:name w:val="xl129"/>
    <w:basedOn w:val="Normal"/>
    <w:uiPriority w:val="99"/>
    <w:rsid w:val="00946EB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0000FF"/>
    </w:rPr>
  </w:style>
  <w:style w:type="paragraph" w:customStyle="1" w:styleId="xl130">
    <w:name w:val="xl130"/>
    <w:basedOn w:val="Normal"/>
    <w:uiPriority w:val="99"/>
    <w:rsid w:val="00946EB4"/>
    <w:pPr>
      <w:pBdr>
        <w:top w:val="single" w:sz="4" w:space="0" w:color="auto"/>
        <w:left w:val="single" w:sz="4" w:space="0" w:color="auto"/>
        <w:bottom w:val="single" w:sz="8" w:space="0" w:color="auto"/>
        <w:right w:val="single" w:sz="8" w:space="0" w:color="auto"/>
      </w:pBdr>
      <w:shd w:val="clear" w:color="000000" w:fill="C0C0C0"/>
      <w:spacing w:before="100" w:beforeAutospacing="1" w:after="100" w:afterAutospacing="1"/>
      <w:textAlignment w:val="center"/>
    </w:pPr>
    <w:rPr>
      <w:color w:val="0000FF"/>
    </w:rPr>
  </w:style>
  <w:style w:type="paragraph" w:customStyle="1" w:styleId="xl131">
    <w:name w:val="xl131"/>
    <w:basedOn w:val="Normal"/>
    <w:uiPriority w:val="99"/>
    <w:rsid w:val="00946EB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32">
    <w:name w:val="xl132"/>
    <w:basedOn w:val="Normal"/>
    <w:uiPriority w:val="99"/>
    <w:rsid w:val="00946EB4"/>
    <w:pPr>
      <w:pBdr>
        <w:top w:val="single" w:sz="4" w:space="0" w:color="auto"/>
        <w:bottom w:val="single" w:sz="4" w:space="0" w:color="auto"/>
        <w:right w:val="single" w:sz="4" w:space="0" w:color="auto"/>
      </w:pBdr>
      <w:spacing w:before="100" w:beforeAutospacing="1" w:after="100" w:afterAutospacing="1"/>
      <w:textAlignment w:val="center"/>
    </w:pPr>
    <w:rPr>
      <w:color w:val="0000FF"/>
    </w:rPr>
  </w:style>
  <w:style w:type="paragraph" w:customStyle="1" w:styleId="xl133">
    <w:name w:val="xl133"/>
    <w:basedOn w:val="Normal"/>
    <w:uiPriority w:val="99"/>
    <w:rsid w:val="00946EB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color w:val="0000FF"/>
    </w:rPr>
  </w:style>
  <w:style w:type="paragraph" w:customStyle="1" w:styleId="xl134">
    <w:name w:val="xl134"/>
    <w:basedOn w:val="Normal"/>
    <w:uiPriority w:val="99"/>
    <w:rsid w:val="00946EB4"/>
    <w:pPr>
      <w:pBdr>
        <w:top w:val="single" w:sz="4" w:space="0" w:color="auto"/>
        <w:bottom w:val="single" w:sz="4" w:space="0" w:color="auto"/>
        <w:right w:val="single" w:sz="8" w:space="0" w:color="auto"/>
      </w:pBdr>
      <w:shd w:val="clear" w:color="000000" w:fill="C0C0C0"/>
      <w:spacing w:before="100" w:beforeAutospacing="1" w:after="100" w:afterAutospacing="1"/>
      <w:textAlignment w:val="center"/>
    </w:pPr>
  </w:style>
  <w:style w:type="paragraph" w:customStyle="1" w:styleId="xl135">
    <w:name w:val="xl135"/>
    <w:basedOn w:val="Normal"/>
    <w:uiPriority w:val="99"/>
    <w:rsid w:val="00946EB4"/>
    <w:pPr>
      <w:pBdr>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36">
    <w:name w:val="xl136"/>
    <w:basedOn w:val="Normal"/>
    <w:uiPriority w:val="99"/>
    <w:rsid w:val="00946EB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7">
    <w:name w:val="xl137"/>
    <w:basedOn w:val="Normal"/>
    <w:uiPriority w:val="99"/>
    <w:rsid w:val="00946EB4"/>
    <w:pPr>
      <w:pBdr>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38">
    <w:name w:val="xl138"/>
    <w:basedOn w:val="Normal"/>
    <w:uiPriority w:val="99"/>
    <w:rsid w:val="00946EB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39">
    <w:name w:val="xl139"/>
    <w:basedOn w:val="Normal"/>
    <w:uiPriority w:val="99"/>
    <w:rsid w:val="00946EB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40">
    <w:name w:val="xl140"/>
    <w:basedOn w:val="Normal"/>
    <w:uiPriority w:val="99"/>
    <w:rsid w:val="00946EB4"/>
    <w:pPr>
      <w:pBdr>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41">
    <w:name w:val="xl141"/>
    <w:basedOn w:val="Normal"/>
    <w:uiPriority w:val="99"/>
    <w:rsid w:val="00946EB4"/>
    <w:pPr>
      <w:pBdr>
        <w:left w:val="single" w:sz="4" w:space="0" w:color="auto"/>
        <w:bottom w:val="single" w:sz="4" w:space="0" w:color="auto"/>
        <w:right w:val="single" w:sz="4" w:space="0" w:color="auto"/>
      </w:pBdr>
      <w:spacing w:before="100" w:beforeAutospacing="1" w:after="100" w:afterAutospacing="1"/>
      <w:textAlignment w:val="center"/>
    </w:pPr>
  </w:style>
  <w:style w:type="paragraph" w:styleId="Title">
    <w:name w:val="Title"/>
    <w:basedOn w:val="Normal"/>
    <w:link w:val="TitleChar"/>
    <w:uiPriority w:val="99"/>
    <w:qFormat/>
    <w:rsid w:val="00946EB4"/>
    <w:pPr>
      <w:pBdr>
        <w:top w:val="single" w:sz="18" w:space="1" w:color="auto" w:shadow="1"/>
        <w:left w:val="single" w:sz="18" w:space="4" w:color="auto" w:shadow="1"/>
        <w:bottom w:val="single" w:sz="18" w:space="1" w:color="auto" w:shadow="1"/>
        <w:right w:val="single" w:sz="18" w:space="4" w:color="auto" w:shadow="1"/>
      </w:pBdr>
      <w:jc w:val="center"/>
    </w:pPr>
    <w:rPr>
      <w:sz w:val="48"/>
      <w:szCs w:val="20"/>
    </w:rPr>
  </w:style>
  <w:style w:type="character" w:customStyle="1" w:styleId="TitleChar">
    <w:name w:val="Title Char"/>
    <w:basedOn w:val="DefaultParagraphFont"/>
    <w:link w:val="Title"/>
    <w:uiPriority w:val="99"/>
    <w:locked/>
    <w:rsid w:val="00946EB4"/>
    <w:rPr>
      <w:rFonts w:ascii="Times New Roman" w:hAnsi="Times New Roman" w:cs="Times New Roman"/>
      <w:sz w:val="20"/>
      <w:szCs w:val="20"/>
      <w:lang w:eastAsia="fr-FR"/>
    </w:rPr>
  </w:style>
  <w:style w:type="paragraph" w:styleId="Caption">
    <w:name w:val="caption"/>
    <w:basedOn w:val="Normal"/>
    <w:next w:val="Normal"/>
    <w:uiPriority w:val="99"/>
    <w:qFormat/>
    <w:rsid w:val="00BB1816"/>
    <w:rPr>
      <w:b/>
      <w:bCs/>
      <w:sz w:val="20"/>
      <w:szCs w:val="20"/>
    </w:rPr>
  </w:style>
  <w:style w:type="paragraph" w:customStyle="1" w:styleId="yndicatde">
    <w:name w:val="yndicat de"/>
    <w:basedOn w:val="Normal"/>
    <w:uiPriority w:val="99"/>
    <w:rsid w:val="00BB1816"/>
    <w:pPr>
      <w:widowControl w:val="0"/>
      <w:numPr>
        <w:ilvl w:val="12"/>
      </w:numPr>
      <w:jc w:val="both"/>
    </w:pPr>
    <w:rPr>
      <w:szCs w:val="20"/>
    </w:rPr>
  </w:style>
  <w:style w:type="character" w:styleId="Strong">
    <w:name w:val="Strong"/>
    <w:basedOn w:val="DefaultParagraphFont"/>
    <w:uiPriority w:val="99"/>
    <w:qFormat/>
    <w:rsid w:val="00B846AD"/>
    <w:rPr>
      <w:rFonts w:cs="Times New Roman"/>
      <w:b/>
      <w:bCs/>
    </w:rPr>
  </w:style>
  <w:style w:type="character" w:customStyle="1" w:styleId="ListParagraphChar">
    <w:name w:val="List Paragraph Char"/>
    <w:basedOn w:val="DefaultParagraphFont"/>
    <w:link w:val="ListParagraph"/>
    <w:uiPriority w:val="99"/>
    <w:locked/>
    <w:rsid w:val="0028541E"/>
    <w:rPr>
      <w:rFonts w:ascii="Times New Roman" w:hAnsi="Times New Roman" w:cs="Times New Roman"/>
      <w:sz w:val="24"/>
      <w:szCs w:val="24"/>
      <w:lang w:eastAsia="fr-FR"/>
    </w:rPr>
  </w:style>
  <w:style w:type="table" w:customStyle="1" w:styleId="Tramemoyenne1-Accent11">
    <w:name w:val="Trame moyenne 1 - Accent 11"/>
    <w:uiPriority w:val="99"/>
    <w:rsid w:val="0054374A"/>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numbering" w:styleId="111111">
    <w:name w:val="Outline List 2"/>
    <w:basedOn w:val="NoList"/>
    <w:locked/>
    <w:rsid w:val="00373965"/>
    <w:pPr>
      <w:numPr>
        <w:numId w:val="5"/>
      </w:numPr>
    </w:pPr>
  </w:style>
</w:styles>
</file>

<file path=word/webSettings.xml><?xml version="1.0" encoding="utf-8"?>
<w:webSettings xmlns:r="http://schemas.openxmlformats.org/officeDocument/2006/relationships" xmlns:w="http://schemas.openxmlformats.org/wordprocessingml/2006/main">
  <w:divs>
    <w:div w:id="1168907714">
      <w:marLeft w:val="0"/>
      <w:marRight w:val="0"/>
      <w:marTop w:val="0"/>
      <w:marBottom w:val="0"/>
      <w:divBdr>
        <w:top w:val="none" w:sz="0" w:space="0" w:color="auto"/>
        <w:left w:val="none" w:sz="0" w:space="0" w:color="auto"/>
        <w:bottom w:val="none" w:sz="0" w:space="0" w:color="auto"/>
        <w:right w:val="none" w:sz="0" w:space="0" w:color="auto"/>
      </w:divBdr>
    </w:div>
    <w:div w:id="1168907715">
      <w:marLeft w:val="0"/>
      <w:marRight w:val="0"/>
      <w:marTop w:val="0"/>
      <w:marBottom w:val="0"/>
      <w:divBdr>
        <w:top w:val="none" w:sz="0" w:space="0" w:color="auto"/>
        <w:left w:val="none" w:sz="0" w:space="0" w:color="auto"/>
        <w:bottom w:val="none" w:sz="0" w:space="0" w:color="auto"/>
        <w:right w:val="none" w:sz="0" w:space="0" w:color="auto"/>
      </w:divBdr>
    </w:div>
    <w:div w:id="1168907716">
      <w:marLeft w:val="0"/>
      <w:marRight w:val="0"/>
      <w:marTop w:val="0"/>
      <w:marBottom w:val="0"/>
      <w:divBdr>
        <w:top w:val="none" w:sz="0" w:space="0" w:color="auto"/>
        <w:left w:val="none" w:sz="0" w:space="0" w:color="auto"/>
        <w:bottom w:val="none" w:sz="0" w:space="0" w:color="auto"/>
        <w:right w:val="none" w:sz="0" w:space="0" w:color="auto"/>
      </w:divBdr>
    </w:div>
    <w:div w:id="1168907717">
      <w:marLeft w:val="0"/>
      <w:marRight w:val="0"/>
      <w:marTop w:val="0"/>
      <w:marBottom w:val="0"/>
      <w:divBdr>
        <w:top w:val="none" w:sz="0" w:space="0" w:color="auto"/>
        <w:left w:val="none" w:sz="0" w:space="0" w:color="auto"/>
        <w:bottom w:val="none" w:sz="0" w:space="0" w:color="auto"/>
        <w:right w:val="none" w:sz="0" w:space="0" w:color="auto"/>
      </w:divBdr>
    </w:div>
    <w:div w:id="1168907718">
      <w:marLeft w:val="0"/>
      <w:marRight w:val="0"/>
      <w:marTop w:val="0"/>
      <w:marBottom w:val="0"/>
      <w:divBdr>
        <w:top w:val="none" w:sz="0" w:space="0" w:color="auto"/>
        <w:left w:val="none" w:sz="0" w:space="0" w:color="auto"/>
        <w:bottom w:val="none" w:sz="0" w:space="0" w:color="auto"/>
        <w:right w:val="none" w:sz="0" w:space="0" w:color="auto"/>
      </w:divBdr>
    </w:div>
    <w:div w:id="1168907719">
      <w:marLeft w:val="0"/>
      <w:marRight w:val="0"/>
      <w:marTop w:val="0"/>
      <w:marBottom w:val="0"/>
      <w:divBdr>
        <w:top w:val="none" w:sz="0" w:space="0" w:color="auto"/>
        <w:left w:val="none" w:sz="0" w:space="0" w:color="auto"/>
        <w:bottom w:val="none" w:sz="0" w:space="0" w:color="auto"/>
        <w:right w:val="none" w:sz="0" w:space="0" w:color="auto"/>
      </w:divBdr>
    </w:div>
    <w:div w:id="1168907720">
      <w:marLeft w:val="0"/>
      <w:marRight w:val="0"/>
      <w:marTop w:val="0"/>
      <w:marBottom w:val="0"/>
      <w:divBdr>
        <w:top w:val="none" w:sz="0" w:space="0" w:color="auto"/>
        <w:left w:val="none" w:sz="0" w:space="0" w:color="auto"/>
        <w:bottom w:val="none" w:sz="0" w:space="0" w:color="auto"/>
        <w:right w:val="none" w:sz="0" w:space="0" w:color="auto"/>
      </w:divBdr>
    </w:div>
    <w:div w:id="1168907721">
      <w:marLeft w:val="0"/>
      <w:marRight w:val="0"/>
      <w:marTop w:val="0"/>
      <w:marBottom w:val="0"/>
      <w:divBdr>
        <w:top w:val="none" w:sz="0" w:space="0" w:color="auto"/>
        <w:left w:val="none" w:sz="0" w:space="0" w:color="auto"/>
        <w:bottom w:val="none" w:sz="0" w:space="0" w:color="auto"/>
        <w:right w:val="none" w:sz="0" w:space="0" w:color="auto"/>
      </w:divBdr>
    </w:div>
    <w:div w:id="1168907722">
      <w:marLeft w:val="0"/>
      <w:marRight w:val="0"/>
      <w:marTop w:val="0"/>
      <w:marBottom w:val="0"/>
      <w:divBdr>
        <w:top w:val="none" w:sz="0" w:space="0" w:color="auto"/>
        <w:left w:val="none" w:sz="0" w:space="0" w:color="auto"/>
        <w:bottom w:val="none" w:sz="0" w:space="0" w:color="auto"/>
        <w:right w:val="none" w:sz="0" w:space="0" w:color="auto"/>
      </w:divBdr>
    </w:div>
    <w:div w:id="1168907723">
      <w:marLeft w:val="0"/>
      <w:marRight w:val="0"/>
      <w:marTop w:val="0"/>
      <w:marBottom w:val="0"/>
      <w:divBdr>
        <w:top w:val="none" w:sz="0" w:space="0" w:color="auto"/>
        <w:left w:val="none" w:sz="0" w:space="0" w:color="auto"/>
        <w:bottom w:val="none" w:sz="0" w:space="0" w:color="auto"/>
        <w:right w:val="none" w:sz="0" w:space="0" w:color="auto"/>
      </w:divBdr>
    </w:div>
    <w:div w:id="1168907724">
      <w:marLeft w:val="0"/>
      <w:marRight w:val="0"/>
      <w:marTop w:val="0"/>
      <w:marBottom w:val="0"/>
      <w:divBdr>
        <w:top w:val="none" w:sz="0" w:space="0" w:color="auto"/>
        <w:left w:val="none" w:sz="0" w:space="0" w:color="auto"/>
        <w:bottom w:val="none" w:sz="0" w:space="0" w:color="auto"/>
        <w:right w:val="none" w:sz="0" w:space="0" w:color="auto"/>
      </w:divBdr>
    </w:div>
    <w:div w:id="1168907725">
      <w:marLeft w:val="0"/>
      <w:marRight w:val="0"/>
      <w:marTop w:val="0"/>
      <w:marBottom w:val="0"/>
      <w:divBdr>
        <w:top w:val="none" w:sz="0" w:space="0" w:color="auto"/>
        <w:left w:val="none" w:sz="0" w:space="0" w:color="auto"/>
        <w:bottom w:val="none" w:sz="0" w:space="0" w:color="auto"/>
        <w:right w:val="none" w:sz="0" w:space="0" w:color="auto"/>
      </w:divBdr>
    </w:div>
    <w:div w:id="1168907726">
      <w:marLeft w:val="0"/>
      <w:marRight w:val="0"/>
      <w:marTop w:val="0"/>
      <w:marBottom w:val="0"/>
      <w:divBdr>
        <w:top w:val="none" w:sz="0" w:space="0" w:color="auto"/>
        <w:left w:val="none" w:sz="0" w:space="0" w:color="auto"/>
        <w:bottom w:val="none" w:sz="0" w:space="0" w:color="auto"/>
        <w:right w:val="none" w:sz="0" w:space="0" w:color="auto"/>
      </w:divBdr>
    </w:div>
    <w:div w:id="1168907727">
      <w:marLeft w:val="0"/>
      <w:marRight w:val="0"/>
      <w:marTop w:val="0"/>
      <w:marBottom w:val="0"/>
      <w:divBdr>
        <w:top w:val="none" w:sz="0" w:space="0" w:color="auto"/>
        <w:left w:val="none" w:sz="0" w:space="0" w:color="auto"/>
        <w:bottom w:val="none" w:sz="0" w:space="0" w:color="auto"/>
        <w:right w:val="none" w:sz="0" w:space="0" w:color="auto"/>
      </w:divBdr>
    </w:div>
    <w:div w:id="1168907728">
      <w:marLeft w:val="0"/>
      <w:marRight w:val="0"/>
      <w:marTop w:val="0"/>
      <w:marBottom w:val="0"/>
      <w:divBdr>
        <w:top w:val="none" w:sz="0" w:space="0" w:color="auto"/>
        <w:left w:val="none" w:sz="0" w:space="0" w:color="auto"/>
        <w:bottom w:val="none" w:sz="0" w:space="0" w:color="auto"/>
        <w:right w:val="none" w:sz="0" w:space="0" w:color="auto"/>
      </w:divBdr>
    </w:div>
    <w:div w:id="1168907729">
      <w:marLeft w:val="0"/>
      <w:marRight w:val="0"/>
      <w:marTop w:val="0"/>
      <w:marBottom w:val="0"/>
      <w:divBdr>
        <w:top w:val="none" w:sz="0" w:space="0" w:color="auto"/>
        <w:left w:val="none" w:sz="0" w:space="0" w:color="auto"/>
        <w:bottom w:val="none" w:sz="0" w:space="0" w:color="auto"/>
        <w:right w:val="none" w:sz="0" w:space="0" w:color="auto"/>
      </w:divBdr>
    </w:div>
    <w:div w:id="1168907730">
      <w:marLeft w:val="0"/>
      <w:marRight w:val="0"/>
      <w:marTop w:val="0"/>
      <w:marBottom w:val="0"/>
      <w:divBdr>
        <w:top w:val="none" w:sz="0" w:space="0" w:color="auto"/>
        <w:left w:val="none" w:sz="0" w:space="0" w:color="auto"/>
        <w:bottom w:val="none" w:sz="0" w:space="0" w:color="auto"/>
        <w:right w:val="none" w:sz="0" w:space="0" w:color="auto"/>
      </w:divBdr>
    </w:div>
    <w:div w:id="1168907731">
      <w:marLeft w:val="0"/>
      <w:marRight w:val="0"/>
      <w:marTop w:val="0"/>
      <w:marBottom w:val="0"/>
      <w:divBdr>
        <w:top w:val="none" w:sz="0" w:space="0" w:color="auto"/>
        <w:left w:val="none" w:sz="0" w:space="0" w:color="auto"/>
        <w:bottom w:val="none" w:sz="0" w:space="0" w:color="auto"/>
        <w:right w:val="none" w:sz="0" w:space="0" w:color="auto"/>
      </w:divBdr>
    </w:div>
    <w:div w:id="1168907732">
      <w:marLeft w:val="0"/>
      <w:marRight w:val="0"/>
      <w:marTop w:val="0"/>
      <w:marBottom w:val="0"/>
      <w:divBdr>
        <w:top w:val="none" w:sz="0" w:space="0" w:color="auto"/>
        <w:left w:val="none" w:sz="0" w:space="0" w:color="auto"/>
        <w:bottom w:val="none" w:sz="0" w:space="0" w:color="auto"/>
        <w:right w:val="none" w:sz="0" w:space="0" w:color="auto"/>
      </w:divBdr>
    </w:div>
    <w:div w:id="1168907733">
      <w:marLeft w:val="0"/>
      <w:marRight w:val="0"/>
      <w:marTop w:val="0"/>
      <w:marBottom w:val="0"/>
      <w:divBdr>
        <w:top w:val="none" w:sz="0" w:space="0" w:color="auto"/>
        <w:left w:val="none" w:sz="0" w:space="0" w:color="auto"/>
        <w:bottom w:val="none" w:sz="0" w:space="0" w:color="auto"/>
        <w:right w:val="none" w:sz="0" w:space="0" w:color="auto"/>
      </w:divBdr>
    </w:div>
    <w:div w:id="1168907734">
      <w:marLeft w:val="0"/>
      <w:marRight w:val="0"/>
      <w:marTop w:val="0"/>
      <w:marBottom w:val="0"/>
      <w:divBdr>
        <w:top w:val="none" w:sz="0" w:space="0" w:color="auto"/>
        <w:left w:val="none" w:sz="0" w:space="0" w:color="auto"/>
        <w:bottom w:val="none" w:sz="0" w:space="0" w:color="auto"/>
        <w:right w:val="none" w:sz="0" w:space="0" w:color="auto"/>
      </w:divBdr>
    </w:div>
    <w:div w:id="1168907735">
      <w:marLeft w:val="0"/>
      <w:marRight w:val="0"/>
      <w:marTop w:val="0"/>
      <w:marBottom w:val="0"/>
      <w:divBdr>
        <w:top w:val="none" w:sz="0" w:space="0" w:color="auto"/>
        <w:left w:val="none" w:sz="0" w:space="0" w:color="auto"/>
        <w:bottom w:val="none" w:sz="0" w:space="0" w:color="auto"/>
        <w:right w:val="none" w:sz="0" w:space="0" w:color="auto"/>
      </w:divBdr>
    </w:div>
    <w:div w:id="1168907736">
      <w:marLeft w:val="0"/>
      <w:marRight w:val="0"/>
      <w:marTop w:val="0"/>
      <w:marBottom w:val="0"/>
      <w:divBdr>
        <w:top w:val="none" w:sz="0" w:space="0" w:color="auto"/>
        <w:left w:val="none" w:sz="0" w:space="0" w:color="auto"/>
        <w:bottom w:val="none" w:sz="0" w:space="0" w:color="auto"/>
        <w:right w:val="none" w:sz="0" w:space="0" w:color="auto"/>
      </w:divBdr>
    </w:div>
    <w:div w:id="1168907737">
      <w:marLeft w:val="0"/>
      <w:marRight w:val="0"/>
      <w:marTop w:val="0"/>
      <w:marBottom w:val="0"/>
      <w:divBdr>
        <w:top w:val="none" w:sz="0" w:space="0" w:color="auto"/>
        <w:left w:val="none" w:sz="0" w:space="0" w:color="auto"/>
        <w:bottom w:val="none" w:sz="0" w:space="0" w:color="auto"/>
        <w:right w:val="none" w:sz="0" w:space="0" w:color="auto"/>
      </w:divBdr>
    </w:div>
    <w:div w:id="1168907738">
      <w:marLeft w:val="0"/>
      <w:marRight w:val="0"/>
      <w:marTop w:val="0"/>
      <w:marBottom w:val="0"/>
      <w:divBdr>
        <w:top w:val="none" w:sz="0" w:space="0" w:color="auto"/>
        <w:left w:val="none" w:sz="0" w:space="0" w:color="auto"/>
        <w:bottom w:val="none" w:sz="0" w:space="0" w:color="auto"/>
        <w:right w:val="none" w:sz="0" w:space="0" w:color="auto"/>
      </w:divBdr>
    </w:div>
    <w:div w:id="1168907739">
      <w:marLeft w:val="0"/>
      <w:marRight w:val="0"/>
      <w:marTop w:val="0"/>
      <w:marBottom w:val="0"/>
      <w:divBdr>
        <w:top w:val="none" w:sz="0" w:space="0" w:color="auto"/>
        <w:left w:val="none" w:sz="0" w:space="0" w:color="auto"/>
        <w:bottom w:val="none" w:sz="0" w:space="0" w:color="auto"/>
        <w:right w:val="none" w:sz="0" w:space="0" w:color="auto"/>
      </w:divBdr>
    </w:div>
    <w:div w:id="1168907740">
      <w:marLeft w:val="0"/>
      <w:marRight w:val="0"/>
      <w:marTop w:val="0"/>
      <w:marBottom w:val="0"/>
      <w:divBdr>
        <w:top w:val="none" w:sz="0" w:space="0" w:color="auto"/>
        <w:left w:val="none" w:sz="0" w:space="0" w:color="auto"/>
        <w:bottom w:val="none" w:sz="0" w:space="0" w:color="auto"/>
        <w:right w:val="none" w:sz="0" w:space="0" w:color="auto"/>
      </w:divBdr>
    </w:div>
    <w:div w:id="1168907741">
      <w:marLeft w:val="0"/>
      <w:marRight w:val="0"/>
      <w:marTop w:val="0"/>
      <w:marBottom w:val="0"/>
      <w:divBdr>
        <w:top w:val="none" w:sz="0" w:space="0" w:color="auto"/>
        <w:left w:val="none" w:sz="0" w:space="0" w:color="auto"/>
        <w:bottom w:val="none" w:sz="0" w:space="0" w:color="auto"/>
        <w:right w:val="none" w:sz="0" w:space="0" w:color="auto"/>
      </w:divBdr>
    </w:div>
    <w:div w:id="1168907742">
      <w:marLeft w:val="0"/>
      <w:marRight w:val="0"/>
      <w:marTop w:val="0"/>
      <w:marBottom w:val="0"/>
      <w:divBdr>
        <w:top w:val="none" w:sz="0" w:space="0" w:color="auto"/>
        <w:left w:val="none" w:sz="0" w:space="0" w:color="auto"/>
        <w:bottom w:val="none" w:sz="0" w:space="0" w:color="auto"/>
        <w:right w:val="none" w:sz="0" w:space="0" w:color="auto"/>
      </w:divBdr>
    </w:div>
    <w:div w:id="1168907743">
      <w:marLeft w:val="0"/>
      <w:marRight w:val="0"/>
      <w:marTop w:val="0"/>
      <w:marBottom w:val="0"/>
      <w:divBdr>
        <w:top w:val="none" w:sz="0" w:space="0" w:color="auto"/>
        <w:left w:val="none" w:sz="0" w:space="0" w:color="auto"/>
        <w:bottom w:val="none" w:sz="0" w:space="0" w:color="auto"/>
        <w:right w:val="none" w:sz="0" w:space="0" w:color="auto"/>
      </w:divBdr>
    </w:div>
    <w:div w:id="1168907744">
      <w:marLeft w:val="0"/>
      <w:marRight w:val="0"/>
      <w:marTop w:val="0"/>
      <w:marBottom w:val="0"/>
      <w:divBdr>
        <w:top w:val="none" w:sz="0" w:space="0" w:color="auto"/>
        <w:left w:val="none" w:sz="0" w:space="0" w:color="auto"/>
        <w:bottom w:val="none" w:sz="0" w:space="0" w:color="auto"/>
        <w:right w:val="none" w:sz="0" w:space="0" w:color="auto"/>
      </w:divBdr>
    </w:div>
    <w:div w:id="1168907745">
      <w:marLeft w:val="0"/>
      <w:marRight w:val="0"/>
      <w:marTop w:val="0"/>
      <w:marBottom w:val="0"/>
      <w:divBdr>
        <w:top w:val="none" w:sz="0" w:space="0" w:color="auto"/>
        <w:left w:val="none" w:sz="0" w:space="0" w:color="auto"/>
        <w:bottom w:val="none" w:sz="0" w:space="0" w:color="auto"/>
        <w:right w:val="none" w:sz="0" w:space="0" w:color="auto"/>
      </w:divBdr>
    </w:div>
    <w:div w:id="1168907746">
      <w:marLeft w:val="0"/>
      <w:marRight w:val="0"/>
      <w:marTop w:val="0"/>
      <w:marBottom w:val="0"/>
      <w:divBdr>
        <w:top w:val="none" w:sz="0" w:space="0" w:color="auto"/>
        <w:left w:val="none" w:sz="0" w:space="0" w:color="auto"/>
        <w:bottom w:val="none" w:sz="0" w:space="0" w:color="auto"/>
        <w:right w:val="none" w:sz="0" w:space="0" w:color="auto"/>
      </w:divBdr>
    </w:div>
    <w:div w:id="1168907747">
      <w:marLeft w:val="0"/>
      <w:marRight w:val="0"/>
      <w:marTop w:val="0"/>
      <w:marBottom w:val="0"/>
      <w:divBdr>
        <w:top w:val="none" w:sz="0" w:space="0" w:color="auto"/>
        <w:left w:val="none" w:sz="0" w:space="0" w:color="auto"/>
        <w:bottom w:val="none" w:sz="0" w:space="0" w:color="auto"/>
        <w:right w:val="none" w:sz="0" w:space="0" w:color="auto"/>
      </w:divBdr>
    </w:div>
    <w:div w:id="1168907748">
      <w:marLeft w:val="0"/>
      <w:marRight w:val="0"/>
      <w:marTop w:val="0"/>
      <w:marBottom w:val="0"/>
      <w:divBdr>
        <w:top w:val="none" w:sz="0" w:space="0" w:color="auto"/>
        <w:left w:val="none" w:sz="0" w:space="0" w:color="auto"/>
        <w:bottom w:val="none" w:sz="0" w:space="0" w:color="auto"/>
        <w:right w:val="none" w:sz="0" w:space="0" w:color="auto"/>
      </w:divBdr>
    </w:div>
    <w:div w:id="1168907749">
      <w:marLeft w:val="0"/>
      <w:marRight w:val="0"/>
      <w:marTop w:val="0"/>
      <w:marBottom w:val="0"/>
      <w:divBdr>
        <w:top w:val="none" w:sz="0" w:space="0" w:color="auto"/>
        <w:left w:val="none" w:sz="0" w:space="0" w:color="auto"/>
        <w:bottom w:val="none" w:sz="0" w:space="0" w:color="auto"/>
        <w:right w:val="none" w:sz="0" w:space="0" w:color="auto"/>
      </w:divBdr>
    </w:div>
    <w:div w:id="1168907750">
      <w:marLeft w:val="0"/>
      <w:marRight w:val="0"/>
      <w:marTop w:val="0"/>
      <w:marBottom w:val="0"/>
      <w:divBdr>
        <w:top w:val="none" w:sz="0" w:space="0" w:color="auto"/>
        <w:left w:val="none" w:sz="0" w:space="0" w:color="auto"/>
        <w:bottom w:val="none" w:sz="0" w:space="0" w:color="auto"/>
        <w:right w:val="none" w:sz="0" w:space="0" w:color="auto"/>
      </w:divBdr>
    </w:div>
    <w:div w:id="11689077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hyperlink" Target="http://www.legifrance.gouv.fr/affichTexte.do;jsessionid=5690CCCA62BF8FD0A364ECD50B2F1A58.tpdjo13v_3?cidTexte=JORFTEXT000000412528&amp;dateTexte=20030527&amp;categorieLien=id" TargetMode="Externa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8.emf"/><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4.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9.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27</Pages>
  <Words>5856</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COULBAULT</dc:creator>
  <cp:keywords/>
  <dc:description/>
  <cp:lastModifiedBy>Corinne</cp:lastModifiedBy>
  <cp:revision>2</cp:revision>
  <cp:lastPrinted>2012-01-04T15:34:00Z</cp:lastPrinted>
  <dcterms:created xsi:type="dcterms:W3CDTF">2014-09-10T14:20:00Z</dcterms:created>
  <dcterms:modified xsi:type="dcterms:W3CDTF">2014-09-10T14:20:00Z</dcterms:modified>
</cp:coreProperties>
</file>