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4" w:rsidRPr="00EB4501" w:rsidRDefault="00CD7D24" w:rsidP="00CD7D24">
      <w:pPr>
        <w:rPr>
          <w:b/>
          <w:sz w:val="24"/>
          <w:szCs w:val="24"/>
        </w:rPr>
      </w:pPr>
      <w:bookmarkStart w:id="0" w:name="_GoBack"/>
      <w:bookmarkEnd w:id="0"/>
      <w:r w:rsidRPr="00EB4501">
        <w:rPr>
          <w:b/>
          <w:sz w:val="24"/>
          <w:szCs w:val="24"/>
          <w:lang w:val="fr-FR"/>
        </w:rPr>
        <w:t>Le rôle du stress lié à la grossesse dans la survenue de la pré-éclampsie</w:t>
      </w:r>
      <w:r w:rsidRPr="00EB4501">
        <w:rPr>
          <w:b/>
          <w:sz w:val="24"/>
          <w:szCs w:val="24"/>
        </w:rPr>
        <w:t xml:space="preserve"> </w:t>
      </w:r>
    </w:p>
    <w:p w:rsidR="00CD7D24" w:rsidRPr="002D610A" w:rsidRDefault="00CD7D24" w:rsidP="00CD7D24">
      <w:pPr>
        <w:rPr>
          <w:sz w:val="24"/>
          <w:szCs w:val="24"/>
        </w:rPr>
      </w:pPr>
      <w:r w:rsidRPr="002D610A">
        <w:rPr>
          <w:sz w:val="24"/>
          <w:szCs w:val="24"/>
          <w:lang w:val="fr-FR"/>
        </w:rPr>
        <w:t xml:space="preserve">Bula-Bula I.M. (1,  2), </w:t>
      </w:r>
      <w:proofErr w:type="spellStart"/>
      <w:r w:rsidRPr="002D610A">
        <w:rPr>
          <w:sz w:val="24"/>
          <w:szCs w:val="24"/>
          <w:lang w:val="fr-FR"/>
        </w:rPr>
        <w:t>Kabuni</w:t>
      </w:r>
      <w:proofErr w:type="spellEnd"/>
      <w:r w:rsidRPr="002D610A">
        <w:rPr>
          <w:sz w:val="24"/>
          <w:szCs w:val="24"/>
          <w:lang w:val="fr-FR"/>
        </w:rPr>
        <w:t xml:space="preserve"> P. (1), </w:t>
      </w:r>
      <w:proofErr w:type="spellStart"/>
      <w:r w:rsidR="00260AEA">
        <w:rPr>
          <w:sz w:val="24"/>
          <w:szCs w:val="24"/>
          <w:lang w:val="fr-FR"/>
        </w:rPr>
        <w:t>Lokomba</w:t>
      </w:r>
      <w:proofErr w:type="spellEnd"/>
      <w:r w:rsidR="00260AEA">
        <w:rPr>
          <w:sz w:val="24"/>
          <w:szCs w:val="24"/>
          <w:lang w:val="fr-FR"/>
        </w:rPr>
        <w:t xml:space="preserve"> V. (3), </w:t>
      </w:r>
      <w:proofErr w:type="spellStart"/>
      <w:r w:rsidR="00260AEA">
        <w:rPr>
          <w:sz w:val="24"/>
          <w:szCs w:val="24"/>
          <w:lang w:val="fr-FR"/>
        </w:rPr>
        <w:t>Lepira</w:t>
      </w:r>
      <w:proofErr w:type="spellEnd"/>
      <w:r w:rsidR="00260AEA">
        <w:rPr>
          <w:sz w:val="24"/>
          <w:szCs w:val="24"/>
          <w:lang w:val="fr-FR"/>
        </w:rPr>
        <w:t xml:space="preserve"> F. (4), </w:t>
      </w:r>
      <w:proofErr w:type="spellStart"/>
      <w:r w:rsidR="0000220D">
        <w:rPr>
          <w:sz w:val="24"/>
          <w:szCs w:val="24"/>
          <w:lang w:val="fr-FR"/>
        </w:rPr>
        <w:t>Mananga</w:t>
      </w:r>
      <w:proofErr w:type="spellEnd"/>
      <w:r w:rsidR="0000220D">
        <w:rPr>
          <w:sz w:val="24"/>
          <w:szCs w:val="24"/>
          <w:lang w:val="fr-FR"/>
        </w:rPr>
        <w:t xml:space="preserve"> L. (5), </w:t>
      </w:r>
      <w:r w:rsidRPr="002D610A">
        <w:rPr>
          <w:sz w:val="24"/>
          <w:szCs w:val="24"/>
          <w:lang w:val="fr-FR"/>
        </w:rPr>
        <w:t>Kilembe M. (1).</w:t>
      </w:r>
    </w:p>
    <w:p w:rsidR="00CD7D24" w:rsidRPr="002D610A" w:rsidRDefault="00CD7D24" w:rsidP="00CD7D24">
      <w:pPr>
        <w:rPr>
          <w:sz w:val="24"/>
          <w:szCs w:val="24"/>
        </w:rPr>
      </w:pPr>
      <w:r w:rsidRPr="002D610A">
        <w:rPr>
          <w:sz w:val="24"/>
          <w:szCs w:val="24"/>
          <w:lang w:val="fr-FR"/>
        </w:rPr>
        <w:t>Contact: drmebula@gmail.com</w:t>
      </w:r>
    </w:p>
    <w:p w:rsidR="00CD7D24" w:rsidRPr="002D610A" w:rsidRDefault="00CD7D24" w:rsidP="00CD7D24">
      <w:pPr>
        <w:rPr>
          <w:sz w:val="24"/>
          <w:szCs w:val="24"/>
        </w:rPr>
      </w:pPr>
      <w:r w:rsidRPr="002D610A">
        <w:rPr>
          <w:sz w:val="24"/>
          <w:szCs w:val="24"/>
          <w:lang w:val="fr-FR"/>
        </w:rPr>
        <w:t>(1). Département  d’Anesthésie-Réanimation, Cliniques Universitaires de Kinshasa</w:t>
      </w:r>
      <w:r w:rsidRPr="002D610A">
        <w:rPr>
          <w:sz w:val="24"/>
          <w:szCs w:val="24"/>
        </w:rPr>
        <w:t xml:space="preserve"> </w:t>
      </w:r>
    </w:p>
    <w:p w:rsidR="00CD7D24" w:rsidRDefault="00CD7D24" w:rsidP="00CD7D24">
      <w:pPr>
        <w:rPr>
          <w:sz w:val="24"/>
          <w:szCs w:val="24"/>
        </w:rPr>
      </w:pPr>
      <w:r w:rsidRPr="002D610A">
        <w:rPr>
          <w:sz w:val="24"/>
          <w:szCs w:val="24"/>
          <w:lang w:val="fr-FR"/>
        </w:rPr>
        <w:t>(2). Service d’Anesthésie, Hôpital général de Référence de N’</w:t>
      </w:r>
      <w:proofErr w:type="spellStart"/>
      <w:r w:rsidRPr="002D610A">
        <w:rPr>
          <w:sz w:val="24"/>
          <w:szCs w:val="24"/>
          <w:lang w:val="fr-FR"/>
        </w:rPr>
        <w:t>Djili</w:t>
      </w:r>
      <w:proofErr w:type="spellEnd"/>
      <w:r w:rsidRPr="002D610A">
        <w:rPr>
          <w:sz w:val="24"/>
          <w:szCs w:val="24"/>
          <w:lang w:val="fr-FR"/>
        </w:rPr>
        <w:t>/Kinshasa</w:t>
      </w:r>
      <w:r w:rsidRPr="002D610A">
        <w:rPr>
          <w:sz w:val="24"/>
          <w:szCs w:val="24"/>
        </w:rPr>
        <w:t xml:space="preserve"> </w:t>
      </w:r>
    </w:p>
    <w:p w:rsidR="00260AEA" w:rsidRDefault="003D2967" w:rsidP="00CD7D24">
      <w:pPr>
        <w:rPr>
          <w:sz w:val="24"/>
          <w:szCs w:val="24"/>
        </w:rPr>
      </w:pPr>
      <w:r>
        <w:rPr>
          <w:sz w:val="24"/>
          <w:szCs w:val="24"/>
        </w:rPr>
        <w:t>(3). Département de Gynéco-Obstétrique, Cliniques Universitaires de Kinshasa</w:t>
      </w:r>
    </w:p>
    <w:p w:rsidR="003D2967" w:rsidRDefault="003D2967" w:rsidP="00CD7D24">
      <w:pPr>
        <w:rPr>
          <w:sz w:val="24"/>
          <w:szCs w:val="24"/>
        </w:rPr>
      </w:pPr>
      <w:r>
        <w:rPr>
          <w:sz w:val="24"/>
          <w:szCs w:val="24"/>
        </w:rPr>
        <w:t>(4). Département de Médecine interne, Cliniques Universitaires de Kinshasa</w:t>
      </w:r>
    </w:p>
    <w:p w:rsidR="0000220D" w:rsidRPr="002D610A" w:rsidRDefault="0000220D" w:rsidP="00CD7D24">
      <w:pPr>
        <w:rPr>
          <w:sz w:val="24"/>
          <w:szCs w:val="24"/>
        </w:rPr>
      </w:pPr>
      <w:r>
        <w:rPr>
          <w:sz w:val="24"/>
          <w:szCs w:val="24"/>
        </w:rPr>
        <w:t xml:space="preserve">(5). Centre </w:t>
      </w:r>
      <w:proofErr w:type="spellStart"/>
      <w:r>
        <w:rPr>
          <w:sz w:val="24"/>
          <w:szCs w:val="24"/>
        </w:rPr>
        <w:t>Neuro-Psychiatrique</w:t>
      </w:r>
      <w:proofErr w:type="spellEnd"/>
      <w:r>
        <w:rPr>
          <w:sz w:val="24"/>
          <w:szCs w:val="24"/>
        </w:rPr>
        <w:t>, Université de Kinshasa</w:t>
      </w:r>
    </w:p>
    <w:p w:rsidR="00CD7D24" w:rsidRPr="002D610A" w:rsidRDefault="00CD7D24" w:rsidP="00CD7D24">
      <w:pPr>
        <w:rPr>
          <w:sz w:val="24"/>
          <w:szCs w:val="24"/>
        </w:rPr>
      </w:pPr>
      <w:r w:rsidRPr="002D610A">
        <w:rPr>
          <w:b/>
          <w:bCs/>
          <w:sz w:val="24"/>
          <w:szCs w:val="24"/>
          <w:lang w:val="fr-FR"/>
        </w:rPr>
        <w:t>Introduction</w:t>
      </w:r>
    </w:p>
    <w:p w:rsidR="00D67E60" w:rsidRPr="002D610A" w:rsidRDefault="00684E57" w:rsidP="00EB4501">
      <w:pPr>
        <w:jc w:val="both"/>
        <w:rPr>
          <w:sz w:val="24"/>
          <w:szCs w:val="24"/>
        </w:rPr>
      </w:pPr>
      <w:r w:rsidRPr="002D610A">
        <w:rPr>
          <w:sz w:val="24"/>
          <w:szCs w:val="24"/>
        </w:rPr>
        <w:t>E</w:t>
      </w:r>
      <w:r w:rsidR="0084623E">
        <w:rPr>
          <w:sz w:val="24"/>
          <w:szCs w:val="24"/>
        </w:rPr>
        <w:t>n matière de la santé de reproduction</w:t>
      </w:r>
      <w:r w:rsidRPr="002D610A">
        <w:rPr>
          <w:sz w:val="24"/>
          <w:szCs w:val="24"/>
        </w:rPr>
        <w:t>, b</w:t>
      </w:r>
      <w:r w:rsidR="002D610A">
        <w:rPr>
          <w:sz w:val="24"/>
          <w:szCs w:val="24"/>
        </w:rPr>
        <w:t>eau</w:t>
      </w:r>
      <w:r w:rsidRPr="002D610A">
        <w:rPr>
          <w:sz w:val="24"/>
          <w:szCs w:val="24"/>
        </w:rPr>
        <w:t>c</w:t>
      </w:r>
      <w:r w:rsidR="002D610A">
        <w:rPr>
          <w:sz w:val="24"/>
          <w:szCs w:val="24"/>
        </w:rPr>
        <w:t>ou</w:t>
      </w:r>
      <w:r w:rsidRPr="002D610A">
        <w:rPr>
          <w:sz w:val="24"/>
          <w:szCs w:val="24"/>
        </w:rPr>
        <w:t xml:space="preserve">p de femmes continuent à mourir en donnant la vie. Une des causes en est la pré-éclampsie (PE). </w:t>
      </w:r>
    </w:p>
    <w:p w:rsidR="00D67E60" w:rsidRPr="002D610A" w:rsidRDefault="00684E57" w:rsidP="00EB4501">
      <w:pPr>
        <w:jc w:val="both"/>
        <w:rPr>
          <w:sz w:val="24"/>
          <w:szCs w:val="24"/>
        </w:rPr>
      </w:pPr>
      <w:r w:rsidRPr="002D610A">
        <w:rPr>
          <w:sz w:val="24"/>
          <w:szCs w:val="24"/>
        </w:rPr>
        <w:t>Plusieurs facteurs peuvent expliquer la PE parmi lesquels le stress du travail et le stress dans la vie en général (1</w:t>
      </w:r>
      <w:r w:rsidR="005E1586">
        <w:rPr>
          <w:sz w:val="24"/>
          <w:szCs w:val="24"/>
        </w:rPr>
        <w:t>,2</w:t>
      </w:r>
      <w:r w:rsidRPr="002D610A">
        <w:rPr>
          <w:sz w:val="24"/>
          <w:szCs w:val="24"/>
        </w:rPr>
        <w:t xml:space="preserve">). Partant de là, </w:t>
      </w:r>
      <w:r w:rsidR="00FA55D8">
        <w:rPr>
          <w:sz w:val="24"/>
          <w:szCs w:val="24"/>
        </w:rPr>
        <w:t xml:space="preserve">peut-on penser que </w:t>
      </w:r>
      <w:r w:rsidRPr="002D610A">
        <w:rPr>
          <w:sz w:val="24"/>
          <w:szCs w:val="24"/>
        </w:rPr>
        <w:t>le stress lié à la grossesse (</w:t>
      </w:r>
      <w:r w:rsidR="005E1586">
        <w:rPr>
          <w:sz w:val="24"/>
          <w:szCs w:val="24"/>
        </w:rPr>
        <w:t xml:space="preserve">grossesse précieuse, difficultés financières, </w:t>
      </w:r>
      <w:r w:rsidRPr="002D610A">
        <w:rPr>
          <w:sz w:val="24"/>
          <w:szCs w:val="24"/>
        </w:rPr>
        <w:t>ATCD personnel ou collatéral de grossesse compliquée: PE, MIU, mortalité maternel</w:t>
      </w:r>
      <w:r w:rsidR="00FA55D8">
        <w:rPr>
          <w:sz w:val="24"/>
          <w:szCs w:val="24"/>
        </w:rPr>
        <w:t xml:space="preserve">le, conflit conjugal, etc.)  </w:t>
      </w:r>
      <w:proofErr w:type="gramStart"/>
      <w:r w:rsidR="00FA55D8">
        <w:rPr>
          <w:sz w:val="24"/>
          <w:szCs w:val="24"/>
        </w:rPr>
        <w:t>pourrai</w:t>
      </w:r>
      <w:r w:rsidRPr="002D610A">
        <w:rPr>
          <w:sz w:val="24"/>
          <w:szCs w:val="24"/>
        </w:rPr>
        <w:t>t-il</w:t>
      </w:r>
      <w:proofErr w:type="gramEnd"/>
      <w:r w:rsidRPr="002D610A">
        <w:rPr>
          <w:sz w:val="24"/>
          <w:szCs w:val="24"/>
        </w:rPr>
        <w:t xml:space="preserve"> prédire la PE? </w:t>
      </w:r>
    </w:p>
    <w:p w:rsidR="00D67E60" w:rsidRPr="0095142C" w:rsidRDefault="00684E57" w:rsidP="00EB4501">
      <w:pPr>
        <w:jc w:val="both"/>
        <w:rPr>
          <w:sz w:val="24"/>
          <w:szCs w:val="24"/>
        </w:rPr>
      </w:pPr>
      <w:r w:rsidRPr="0095142C">
        <w:rPr>
          <w:bCs/>
          <w:i/>
          <w:iCs/>
          <w:sz w:val="24"/>
          <w:szCs w:val="24"/>
          <w:lang w:val="fr-FR"/>
        </w:rPr>
        <w:t xml:space="preserve">Objectif de l’étude </w:t>
      </w:r>
      <w:r w:rsidRPr="0095142C">
        <w:rPr>
          <w:bCs/>
          <w:sz w:val="24"/>
          <w:szCs w:val="24"/>
          <w:lang w:val="fr-FR"/>
        </w:rPr>
        <w:t xml:space="preserve">: </w:t>
      </w:r>
    </w:p>
    <w:p w:rsidR="00CD7D24" w:rsidRDefault="00CD7D24" w:rsidP="00EB4501">
      <w:pPr>
        <w:jc w:val="both"/>
        <w:rPr>
          <w:sz w:val="24"/>
          <w:szCs w:val="24"/>
          <w:lang w:val="fr-FR"/>
        </w:rPr>
      </w:pPr>
      <w:r w:rsidRPr="002D610A">
        <w:rPr>
          <w:sz w:val="24"/>
          <w:szCs w:val="24"/>
          <w:lang w:val="fr-FR"/>
        </w:rPr>
        <w:t>Chercher l’existence d’un lien entre le stress lié à la grossesse et la PE</w:t>
      </w:r>
      <w:r w:rsidR="0095142C">
        <w:rPr>
          <w:sz w:val="24"/>
          <w:szCs w:val="24"/>
          <w:lang w:val="fr-FR"/>
        </w:rPr>
        <w:t>.</w:t>
      </w:r>
    </w:p>
    <w:p w:rsidR="0095142C" w:rsidRDefault="0095142C" w:rsidP="00EB4501">
      <w:pPr>
        <w:jc w:val="both"/>
        <w:rPr>
          <w:b/>
          <w:bCs/>
          <w:sz w:val="24"/>
          <w:szCs w:val="24"/>
          <w:lang w:val="fr-FR"/>
        </w:rPr>
      </w:pPr>
      <w:r w:rsidRPr="002D610A">
        <w:rPr>
          <w:sz w:val="24"/>
          <w:szCs w:val="24"/>
        </w:rPr>
        <w:t>La figure 1 ci-dessous propos</w:t>
      </w:r>
      <w:r w:rsidR="00FA55D8">
        <w:rPr>
          <w:sz w:val="24"/>
          <w:szCs w:val="24"/>
        </w:rPr>
        <w:t xml:space="preserve">e un schéma pouvant expliquer le rôle du stress </w:t>
      </w:r>
      <w:r w:rsidRPr="002D610A">
        <w:rPr>
          <w:sz w:val="24"/>
          <w:szCs w:val="24"/>
        </w:rPr>
        <w:t>dans la genèse de la PE.</w:t>
      </w:r>
      <w:r w:rsidRPr="002D610A">
        <w:rPr>
          <w:b/>
          <w:bCs/>
          <w:sz w:val="24"/>
          <w:szCs w:val="24"/>
          <w:lang w:val="fr-FR"/>
        </w:rPr>
        <w:t xml:space="preserve"> </w:t>
      </w: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AD3DCC" w:rsidRDefault="00AD3DCC" w:rsidP="00EB4501">
      <w:pPr>
        <w:jc w:val="both"/>
        <w:rPr>
          <w:b/>
          <w:bCs/>
          <w:sz w:val="24"/>
          <w:szCs w:val="24"/>
          <w:lang w:val="fr-FR"/>
        </w:rPr>
      </w:pPr>
    </w:p>
    <w:p w:rsidR="00CD7D24" w:rsidRPr="002D610A" w:rsidRDefault="007E1903" w:rsidP="00EB4501">
      <w:pPr>
        <w:jc w:val="both"/>
        <w:rPr>
          <w:sz w:val="24"/>
          <w:szCs w:val="24"/>
        </w:rPr>
      </w:pPr>
      <w:r w:rsidRPr="007E1903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5981700" cy="56673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639" t="16410" r="24595" b="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24" w:rsidRPr="002D610A" w:rsidRDefault="00CD7D24" w:rsidP="00EB4501">
      <w:pPr>
        <w:tabs>
          <w:tab w:val="left" w:pos="3915"/>
        </w:tabs>
        <w:jc w:val="both"/>
        <w:rPr>
          <w:sz w:val="24"/>
          <w:szCs w:val="24"/>
        </w:rPr>
      </w:pPr>
      <w:r w:rsidRPr="002D610A">
        <w:rPr>
          <w:bCs/>
          <w:sz w:val="24"/>
          <w:szCs w:val="24"/>
        </w:rPr>
        <w:t xml:space="preserve">Fig. 1. Le rôle du </w:t>
      </w:r>
      <w:r w:rsidR="00A30925" w:rsidRPr="002D610A">
        <w:rPr>
          <w:bCs/>
          <w:sz w:val="24"/>
          <w:szCs w:val="24"/>
        </w:rPr>
        <w:t>stress</w:t>
      </w:r>
      <w:r w:rsidRPr="002D610A">
        <w:rPr>
          <w:bCs/>
          <w:sz w:val="24"/>
          <w:szCs w:val="24"/>
        </w:rPr>
        <w:t xml:space="preserve"> dans la genèse de la </w:t>
      </w:r>
      <w:proofErr w:type="spellStart"/>
      <w:r w:rsidRPr="002D610A">
        <w:rPr>
          <w:bCs/>
          <w:sz w:val="24"/>
          <w:szCs w:val="24"/>
        </w:rPr>
        <w:t>prééclampsie</w:t>
      </w:r>
      <w:proofErr w:type="spellEnd"/>
      <w:r w:rsidRPr="002D610A">
        <w:rPr>
          <w:bCs/>
          <w:sz w:val="24"/>
          <w:szCs w:val="24"/>
        </w:rPr>
        <w:t xml:space="preserve">. </w:t>
      </w:r>
    </w:p>
    <w:p w:rsidR="002D610A" w:rsidRPr="0095142C" w:rsidRDefault="002D610A" w:rsidP="00EB4501">
      <w:pPr>
        <w:tabs>
          <w:tab w:val="left" w:pos="3915"/>
        </w:tabs>
        <w:jc w:val="both"/>
        <w:rPr>
          <w:b/>
          <w:bCs/>
          <w:sz w:val="24"/>
          <w:szCs w:val="24"/>
          <w:lang w:val="fr-FR"/>
        </w:rPr>
      </w:pPr>
      <w:r w:rsidRPr="0095142C">
        <w:rPr>
          <w:b/>
          <w:bCs/>
          <w:sz w:val="24"/>
          <w:szCs w:val="24"/>
          <w:lang w:val="fr-FR"/>
        </w:rPr>
        <w:t>Matériel et Méthodes</w:t>
      </w:r>
    </w:p>
    <w:p w:rsidR="00D67E60" w:rsidRPr="002D610A" w:rsidRDefault="0095142C" w:rsidP="00EB4501">
      <w:pPr>
        <w:tabs>
          <w:tab w:val="left" w:pos="3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Il s’agit d’une é</w:t>
      </w:r>
      <w:r w:rsidR="00684E57" w:rsidRPr="002D610A">
        <w:rPr>
          <w:sz w:val="24"/>
          <w:szCs w:val="24"/>
        </w:rPr>
        <w:t>tude prospective réalisée du 01 janvier au 30 Août 201</w:t>
      </w:r>
      <w:r w:rsidR="002D610A">
        <w:rPr>
          <w:sz w:val="24"/>
          <w:szCs w:val="24"/>
        </w:rPr>
        <w:t xml:space="preserve">3 au Centre de Santé de </w:t>
      </w:r>
      <w:proofErr w:type="spellStart"/>
      <w:r w:rsidR="002D610A">
        <w:rPr>
          <w:sz w:val="24"/>
          <w:szCs w:val="24"/>
        </w:rPr>
        <w:t>Kikimi</w:t>
      </w:r>
      <w:proofErr w:type="spellEnd"/>
      <w:r w:rsidR="002D610A">
        <w:rPr>
          <w:sz w:val="24"/>
          <w:szCs w:val="24"/>
        </w:rPr>
        <w:t xml:space="preserve"> à l’Est de la ville de </w:t>
      </w:r>
      <w:r w:rsidR="00684E57" w:rsidRPr="002D610A">
        <w:rPr>
          <w:sz w:val="24"/>
          <w:szCs w:val="24"/>
        </w:rPr>
        <w:t xml:space="preserve">Kinshasa. </w:t>
      </w:r>
      <w:r w:rsidR="006F7633">
        <w:rPr>
          <w:sz w:val="24"/>
          <w:szCs w:val="24"/>
        </w:rPr>
        <w:t>L’échantillonnage était d</w:t>
      </w:r>
      <w:r w:rsidR="00057831">
        <w:rPr>
          <w:sz w:val="24"/>
          <w:szCs w:val="24"/>
        </w:rPr>
        <w:t>e convenance.</w:t>
      </w:r>
    </w:p>
    <w:p w:rsidR="008F530D" w:rsidRDefault="00684E57" w:rsidP="00EB4501">
      <w:pPr>
        <w:tabs>
          <w:tab w:val="left" w:pos="3915"/>
        </w:tabs>
        <w:jc w:val="both"/>
        <w:rPr>
          <w:sz w:val="24"/>
          <w:szCs w:val="24"/>
        </w:rPr>
      </w:pPr>
      <w:r w:rsidRPr="002D610A">
        <w:rPr>
          <w:sz w:val="24"/>
          <w:szCs w:val="24"/>
        </w:rPr>
        <w:t>Le stress lié à la grossesse était évaluée au moyen de l</w:t>
      </w:r>
      <w:r w:rsidR="009F4732">
        <w:rPr>
          <w:sz w:val="24"/>
          <w:szCs w:val="24"/>
        </w:rPr>
        <w:t>’échelle visuelle analogique (</w:t>
      </w:r>
      <w:r w:rsidRPr="002D610A">
        <w:rPr>
          <w:sz w:val="24"/>
          <w:szCs w:val="24"/>
        </w:rPr>
        <w:t>EVA</w:t>
      </w:r>
      <w:r w:rsidR="009F4732">
        <w:rPr>
          <w:sz w:val="24"/>
          <w:szCs w:val="24"/>
        </w:rPr>
        <w:t>)</w:t>
      </w:r>
      <w:r w:rsidRPr="002D610A">
        <w:rPr>
          <w:sz w:val="24"/>
          <w:szCs w:val="24"/>
        </w:rPr>
        <w:t xml:space="preserve"> au décours de la première consultation prénatale. </w:t>
      </w:r>
      <w:r w:rsidR="00CF1471">
        <w:rPr>
          <w:sz w:val="24"/>
          <w:szCs w:val="24"/>
        </w:rPr>
        <w:t>A</w:t>
      </w:r>
      <w:r w:rsidR="00CF1471" w:rsidRPr="002D610A">
        <w:rPr>
          <w:sz w:val="24"/>
          <w:szCs w:val="24"/>
        </w:rPr>
        <w:t xml:space="preserve">u troisième trimestre </w:t>
      </w:r>
      <w:r w:rsidR="00CF1471">
        <w:rPr>
          <w:sz w:val="24"/>
          <w:szCs w:val="24"/>
        </w:rPr>
        <w:t>de la grossesse,</w:t>
      </w:r>
      <w:r w:rsidR="00CF1471" w:rsidRPr="002D610A">
        <w:rPr>
          <w:sz w:val="24"/>
          <w:szCs w:val="24"/>
        </w:rPr>
        <w:t xml:space="preserve"> </w:t>
      </w:r>
      <w:r w:rsidR="00CF1471">
        <w:rPr>
          <w:sz w:val="24"/>
          <w:szCs w:val="24"/>
        </w:rPr>
        <w:t>l</w:t>
      </w:r>
      <w:r w:rsidRPr="002D610A">
        <w:rPr>
          <w:sz w:val="24"/>
          <w:szCs w:val="24"/>
        </w:rPr>
        <w:t xml:space="preserve">es gestantes étaient revues </w:t>
      </w:r>
      <w:r w:rsidR="00CF1471">
        <w:rPr>
          <w:sz w:val="24"/>
          <w:szCs w:val="24"/>
        </w:rPr>
        <w:t>en vue de</w:t>
      </w:r>
      <w:r w:rsidRPr="002D610A">
        <w:rPr>
          <w:sz w:val="24"/>
          <w:szCs w:val="24"/>
        </w:rPr>
        <w:t xml:space="preserve"> </w:t>
      </w:r>
      <w:r w:rsidR="008F530D">
        <w:rPr>
          <w:sz w:val="24"/>
          <w:szCs w:val="24"/>
        </w:rPr>
        <w:t xml:space="preserve">rechercher </w:t>
      </w:r>
      <w:r w:rsidRPr="002D610A">
        <w:rPr>
          <w:sz w:val="24"/>
          <w:szCs w:val="24"/>
        </w:rPr>
        <w:t>l</w:t>
      </w:r>
      <w:r w:rsidR="006F7633">
        <w:rPr>
          <w:sz w:val="24"/>
          <w:szCs w:val="24"/>
        </w:rPr>
        <w:t>a survenue ou non d</w:t>
      </w:r>
      <w:r w:rsidRPr="002D610A">
        <w:rPr>
          <w:sz w:val="24"/>
          <w:szCs w:val="24"/>
        </w:rPr>
        <w:t xml:space="preserve">e </w:t>
      </w:r>
      <w:r w:rsidR="006F7633">
        <w:rPr>
          <w:sz w:val="24"/>
          <w:szCs w:val="24"/>
        </w:rPr>
        <w:t xml:space="preserve">la </w:t>
      </w:r>
      <w:r w:rsidRPr="002D610A">
        <w:rPr>
          <w:sz w:val="24"/>
          <w:szCs w:val="24"/>
        </w:rPr>
        <w:t xml:space="preserve">PE. </w:t>
      </w:r>
      <w:r w:rsidR="0095142C">
        <w:rPr>
          <w:sz w:val="24"/>
          <w:szCs w:val="24"/>
        </w:rPr>
        <w:t xml:space="preserve">Outre l’EVA, </w:t>
      </w:r>
      <w:r w:rsidR="0095142C">
        <w:rPr>
          <w:sz w:val="24"/>
          <w:szCs w:val="24"/>
        </w:rPr>
        <w:lastRenderedPageBreak/>
        <w:t>é</w:t>
      </w:r>
      <w:r w:rsidRPr="002D610A">
        <w:rPr>
          <w:sz w:val="24"/>
          <w:szCs w:val="24"/>
        </w:rPr>
        <w:t xml:space="preserve">taient aussi analysés: l’âge, la parité, le niveau d’étude, la pression artérielle et la notion d’avortement. </w:t>
      </w:r>
    </w:p>
    <w:p w:rsidR="008F530D" w:rsidRPr="002D610A" w:rsidRDefault="008F530D" w:rsidP="00EB4501">
      <w:pPr>
        <w:tabs>
          <w:tab w:val="left" w:pos="3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FA55D8">
        <w:rPr>
          <w:sz w:val="24"/>
          <w:szCs w:val="24"/>
        </w:rPr>
        <w:t xml:space="preserve"> groupe d’étude était constitué par le</w:t>
      </w:r>
      <w:r>
        <w:rPr>
          <w:sz w:val="24"/>
          <w:szCs w:val="24"/>
        </w:rPr>
        <w:t xml:space="preserve">s gestantes qui avaient présenté la PE et </w:t>
      </w:r>
      <w:r w:rsidR="0084623E">
        <w:rPr>
          <w:sz w:val="24"/>
          <w:szCs w:val="24"/>
        </w:rPr>
        <w:t xml:space="preserve">le groupe témoin par </w:t>
      </w:r>
      <w:r>
        <w:rPr>
          <w:sz w:val="24"/>
          <w:szCs w:val="24"/>
        </w:rPr>
        <w:t>ce</w:t>
      </w:r>
      <w:r w:rsidR="0084623E">
        <w:rPr>
          <w:sz w:val="24"/>
          <w:szCs w:val="24"/>
        </w:rPr>
        <w:t>lles</w:t>
      </w:r>
      <w:r>
        <w:rPr>
          <w:sz w:val="24"/>
          <w:szCs w:val="24"/>
        </w:rPr>
        <w:t xml:space="preserve"> qui n’avaient pas présenté </w:t>
      </w:r>
      <w:r w:rsidR="0084623E">
        <w:rPr>
          <w:sz w:val="24"/>
          <w:szCs w:val="24"/>
        </w:rPr>
        <w:t>la PE</w:t>
      </w:r>
      <w:r>
        <w:rPr>
          <w:sz w:val="24"/>
          <w:szCs w:val="24"/>
        </w:rPr>
        <w:t>. Le consentement éclairé était exigé.</w:t>
      </w:r>
    </w:p>
    <w:p w:rsidR="002D610A" w:rsidRPr="00CF1471" w:rsidRDefault="002D610A" w:rsidP="00EB4501">
      <w:pPr>
        <w:tabs>
          <w:tab w:val="left" w:pos="3915"/>
        </w:tabs>
        <w:jc w:val="both"/>
        <w:rPr>
          <w:bCs/>
          <w:sz w:val="24"/>
          <w:szCs w:val="24"/>
          <w:lang w:val="fr-FR"/>
        </w:rPr>
      </w:pPr>
      <w:r w:rsidRPr="002D610A">
        <w:rPr>
          <w:b/>
          <w:bCs/>
          <w:sz w:val="24"/>
          <w:szCs w:val="24"/>
          <w:lang w:val="fr-FR"/>
        </w:rPr>
        <w:t>Résultats</w:t>
      </w:r>
    </w:p>
    <w:p w:rsidR="00C05586" w:rsidRPr="00CF1471" w:rsidRDefault="00CF1471" w:rsidP="00CF1471">
      <w:pPr>
        <w:tabs>
          <w:tab w:val="left" w:pos="3915"/>
        </w:tabs>
        <w:jc w:val="both"/>
        <w:rPr>
          <w:rFonts w:eastAsia="Times New Roman" w:cstheme="minorHAnsi"/>
          <w:color w:val="666666"/>
          <w:sz w:val="24"/>
          <w:szCs w:val="24"/>
          <w:lang w:eastAsia="fr-BE"/>
        </w:rPr>
      </w:pPr>
      <w:r w:rsidRPr="00CF1471">
        <w:rPr>
          <w:bCs/>
          <w:sz w:val="24"/>
          <w:szCs w:val="24"/>
          <w:lang w:val="fr-FR"/>
        </w:rPr>
        <w:t xml:space="preserve">Deux cent soixante </w:t>
      </w:r>
      <w:r w:rsidR="00260AEA">
        <w:rPr>
          <w:bCs/>
          <w:sz w:val="24"/>
          <w:szCs w:val="24"/>
          <w:lang w:val="fr-FR"/>
        </w:rPr>
        <w:t>sept</w:t>
      </w:r>
      <w:r w:rsidRPr="00CF1471">
        <w:rPr>
          <w:bCs/>
          <w:sz w:val="24"/>
          <w:szCs w:val="24"/>
          <w:lang w:val="fr-FR"/>
        </w:rPr>
        <w:t xml:space="preserve"> gestantes ont été suivies dont 94 dans le groupe d’étude.</w:t>
      </w:r>
    </w:p>
    <w:p w:rsidR="00406275" w:rsidRPr="00406275" w:rsidRDefault="00406275" w:rsidP="00EB4501">
      <w:pPr>
        <w:tabs>
          <w:tab w:val="left" w:pos="3915"/>
        </w:tabs>
        <w:jc w:val="both"/>
        <w:rPr>
          <w:bCs/>
          <w:sz w:val="24"/>
          <w:szCs w:val="24"/>
          <w:lang w:val="fr-FR"/>
        </w:rPr>
      </w:pPr>
      <w:r w:rsidRPr="00406275">
        <w:rPr>
          <w:bCs/>
          <w:sz w:val="24"/>
          <w:szCs w:val="24"/>
          <w:lang w:val="fr-FR"/>
        </w:rPr>
        <w:t xml:space="preserve">Tableau 1. Répartition des </w:t>
      </w:r>
      <w:r w:rsidR="006E35E2">
        <w:rPr>
          <w:bCs/>
          <w:sz w:val="24"/>
          <w:szCs w:val="24"/>
          <w:lang w:val="fr-FR"/>
        </w:rPr>
        <w:t>gestante</w:t>
      </w:r>
      <w:r w:rsidRPr="00406275">
        <w:rPr>
          <w:bCs/>
          <w:sz w:val="24"/>
          <w:szCs w:val="24"/>
          <w:lang w:val="fr-FR"/>
        </w:rPr>
        <w:t>s en fonction des paramètres recherchés</w:t>
      </w:r>
    </w:p>
    <w:p w:rsidR="002D610A" w:rsidRPr="002D610A" w:rsidRDefault="002D610A" w:rsidP="00EB4501">
      <w:pPr>
        <w:tabs>
          <w:tab w:val="left" w:pos="3915"/>
        </w:tabs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993"/>
        <w:gridCol w:w="1842"/>
      </w:tblGrid>
      <w:tr w:rsidR="003B306F" w:rsidTr="00EB450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Paramètres recherchés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06F" w:rsidRDefault="006E35E2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Groupe d’étude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306F" w:rsidRDefault="006E35E2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 xml:space="preserve">Groupe </w:t>
            </w:r>
            <w:r w:rsidR="003B306F">
              <w:rPr>
                <w:bCs/>
                <w:sz w:val="24"/>
                <w:szCs w:val="24"/>
                <w:lang w:val="fr-FR"/>
              </w:rPr>
              <w:t>témoin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OR</w:t>
            </w:r>
          </w:p>
        </w:tc>
      </w:tr>
      <w:tr w:rsidR="003B306F" w:rsidTr="00EB4501">
        <w:tc>
          <w:tcPr>
            <w:tcW w:w="1384" w:type="dxa"/>
            <w:tcBorders>
              <w:top w:val="single" w:sz="4" w:space="0" w:color="auto"/>
            </w:tcBorders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 xml:space="preserve">EVA </w:t>
            </w:r>
            <w:r>
              <w:rPr>
                <w:bCs/>
                <w:sz w:val="24"/>
                <w:szCs w:val="24"/>
                <w:lang w:val="fr-FR"/>
              </w:rPr>
              <w:sym w:font="Symbol" w:char="F0B3"/>
            </w:r>
            <w:r>
              <w:rPr>
                <w:bCs/>
                <w:sz w:val="24"/>
                <w:szCs w:val="24"/>
                <w:lang w:val="fr-FR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0,001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06F" w:rsidRDefault="003B306F" w:rsidP="00EB4501">
            <w:pPr>
              <w:tabs>
                <w:tab w:val="left" w:pos="3915"/>
              </w:tabs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82,95</w:t>
            </w:r>
          </w:p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sym w:font="Symbol" w:char="F05B"/>
            </w:r>
            <w:r>
              <w:rPr>
                <w:bCs/>
                <w:sz w:val="24"/>
                <w:szCs w:val="24"/>
                <w:lang w:val="fr-FR"/>
              </w:rPr>
              <w:t>20,71 – 708,67</w:t>
            </w:r>
            <w:r>
              <w:rPr>
                <w:bCs/>
                <w:sz w:val="24"/>
                <w:szCs w:val="24"/>
                <w:lang w:val="fr-FR"/>
              </w:rPr>
              <w:sym w:font="Symbol" w:char="F05D"/>
            </w:r>
          </w:p>
        </w:tc>
      </w:tr>
      <w:tr w:rsidR="003B306F" w:rsidTr="00EB4501">
        <w:tc>
          <w:tcPr>
            <w:tcW w:w="1384" w:type="dxa"/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EVA &lt; 8</w:t>
            </w:r>
          </w:p>
        </w:tc>
        <w:tc>
          <w:tcPr>
            <w:tcW w:w="1843" w:type="dxa"/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984" w:type="dxa"/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11</w:t>
            </w:r>
            <w:r w:rsidR="00671C30">
              <w:rPr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993" w:type="dxa"/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</w:p>
        </w:tc>
      </w:tr>
      <w:tr w:rsidR="003B306F" w:rsidTr="00EB4501">
        <w:tc>
          <w:tcPr>
            <w:tcW w:w="1384" w:type="dxa"/>
          </w:tcPr>
          <w:p w:rsidR="003B306F" w:rsidRDefault="00C05586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P</w:t>
            </w:r>
            <w:r w:rsidR="003B306F">
              <w:rPr>
                <w:bCs/>
                <w:sz w:val="24"/>
                <w:szCs w:val="24"/>
                <w:lang w:val="fr-FR"/>
              </w:rPr>
              <w:t>rimipare</w:t>
            </w:r>
          </w:p>
        </w:tc>
        <w:tc>
          <w:tcPr>
            <w:tcW w:w="1843" w:type="dxa"/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4</w:t>
            </w:r>
            <w:r w:rsidR="00EB4501">
              <w:rPr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984" w:type="dxa"/>
          </w:tcPr>
          <w:p w:rsidR="003B306F" w:rsidRDefault="00536890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3</w:t>
            </w:r>
            <w:r w:rsidR="00EB4501">
              <w:rPr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993" w:type="dxa"/>
          </w:tcPr>
          <w:p w:rsidR="003B306F" w:rsidRDefault="003B306F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0,001</w:t>
            </w:r>
          </w:p>
        </w:tc>
        <w:tc>
          <w:tcPr>
            <w:tcW w:w="1842" w:type="dxa"/>
          </w:tcPr>
          <w:p w:rsidR="003B306F" w:rsidRDefault="003B306F" w:rsidP="00EB4501">
            <w:pPr>
              <w:tabs>
                <w:tab w:val="left" w:pos="3915"/>
              </w:tabs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4,31</w:t>
            </w:r>
          </w:p>
          <w:p w:rsidR="003B306F" w:rsidRDefault="00C05586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sym w:font="Symbol" w:char="F05B"/>
            </w:r>
            <w:r>
              <w:rPr>
                <w:bCs/>
                <w:sz w:val="24"/>
                <w:szCs w:val="24"/>
                <w:lang w:val="fr-FR"/>
              </w:rPr>
              <w:t>2,28 – 8,14</w:t>
            </w:r>
            <w:r>
              <w:rPr>
                <w:bCs/>
                <w:sz w:val="24"/>
                <w:szCs w:val="24"/>
                <w:lang w:val="fr-FR"/>
              </w:rPr>
              <w:sym w:font="Symbol" w:char="F05D"/>
            </w:r>
          </w:p>
        </w:tc>
      </w:tr>
      <w:tr w:rsidR="00C05586" w:rsidTr="00EB4501">
        <w:tc>
          <w:tcPr>
            <w:tcW w:w="1384" w:type="dxa"/>
          </w:tcPr>
          <w:p w:rsidR="00C05586" w:rsidRDefault="00C05586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Multipare</w:t>
            </w:r>
          </w:p>
        </w:tc>
        <w:tc>
          <w:tcPr>
            <w:tcW w:w="1843" w:type="dxa"/>
          </w:tcPr>
          <w:p w:rsidR="00C05586" w:rsidRDefault="00696EBE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53</w:t>
            </w:r>
          </w:p>
        </w:tc>
        <w:tc>
          <w:tcPr>
            <w:tcW w:w="1984" w:type="dxa"/>
          </w:tcPr>
          <w:p w:rsidR="00C05586" w:rsidRDefault="00C05586" w:rsidP="00671C30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1</w:t>
            </w:r>
            <w:r w:rsidR="00696EBE">
              <w:rPr>
                <w:bCs/>
                <w:sz w:val="24"/>
                <w:szCs w:val="24"/>
                <w:lang w:val="fr-FR"/>
              </w:rPr>
              <w:t>3</w:t>
            </w:r>
            <w:r w:rsidR="00671C30">
              <w:rPr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993" w:type="dxa"/>
          </w:tcPr>
          <w:p w:rsidR="00C05586" w:rsidRDefault="00C05586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:rsidR="00C05586" w:rsidRDefault="00C05586" w:rsidP="00EB4501">
            <w:pPr>
              <w:tabs>
                <w:tab w:val="left" w:pos="3915"/>
              </w:tabs>
              <w:jc w:val="both"/>
              <w:rPr>
                <w:bCs/>
                <w:sz w:val="24"/>
                <w:szCs w:val="24"/>
                <w:lang w:val="fr-FR"/>
              </w:rPr>
            </w:pPr>
          </w:p>
        </w:tc>
      </w:tr>
    </w:tbl>
    <w:p w:rsidR="003B306F" w:rsidRDefault="003B306F" w:rsidP="00EB4501">
      <w:pPr>
        <w:tabs>
          <w:tab w:val="left" w:pos="3915"/>
        </w:tabs>
        <w:jc w:val="both"/>
        <w:rPr>
          <w:bCs/>
          <w:sz w:val="24"/>
          <w:szCs w:val="24"/>
          <w:lang w:val="fr-FR"/>
        </w:rPr>
      </w:pPr>
    </w:p>
    <w:p w:rsidR="00406275" w:rsidRPr="00A30925" w:rsidRDefault="00406275" w:rsidP="00EB4501">
      <w:pPr>
        <w:tabs>
          <w:tab w:val="left" w:pos="3915"/>
        </w:tabs>
        <w:jc w:val="both"/>
        <w:rPr>
          <w:rFonts w:cstheme="minorHAnsi"/>
          <w:bCs/>
          <w:sz w:val="24"/>
          <w:szCs w:val="24"/>
          <w:lang w:val="fr-FR"/>
        </w:rPr>
      </w:pPr>
      <w:r w:rsidRPr="00406275">
        <w:rPr>
          <w:bCs/>
          <w:sz w:val="24"/>
          <w:szCs w:val="24"/>
          <w:lang w:val="fr-FR"/>
        </w:rPr>
        <w:t>La primiparité</w:t>
      </w:r>
      <w:r w:rsidR="00CF1471">
        <w:rPr>
          <w:bCs/>
          <w:sz w:val="24"/>
          <w:szCs w:val="24"/>
          <w:lang w:val="fr-FR"/>
        </w:rPr>
        <w:t xml:space="preserve"> et l’EVA, au seuil de huit (Sensibilité = 96,6 ; Spécificité = 80,4 ; Valeur Prédictive Positive = 73,7 ; Valeur Prédictive Négative = 97,6 et VGT = 86,</w:t>
      </w:r>
      <w:r w:rsidR="00833CF8">
        <w:rPr>
          <w:bCs/>
          <w:sz w:val="24"/>
          <w:szCs w:val="24"/>
          <w:lang w:val="fr-FR"/>
        </w:rPr>
        <w:t>3)</w:t>
      </w:r>
      <w:r w:rsidR="00A30925" w:rsidRPr="00A30925">
        <w:rPr>
          <w:rFonts w:eastAsia="Times New Roman" w:cstheme="minorHAnsi"/>
          <w:color w:val="666666"/>
          <w:sz w:val="24"/>
          <w:szCs w:val="24"/>
          <w:lang w:eastAsia="fr-BE"/>
        </w:rPr>
        <w:t xml:space="preserve"> </w:t>
      </w:r>
      <w:r w:rsidR="00A30925" w:rsidRPr="00A30925">
        <w:rPr>
          <w:rFonts w:cstheme="minorHAnsi"/>
          <w:bCs/>
          <w:sz w:val="24"/>
          <w:szCs w:val="24"/>
          <w:lang w:val="fr-FR"/>
        </w:rPr>
        <w:t>étaient des facteurs de risque de la PE</w:t>
      </w:r>
      <w:r w:rsidR="00A30925" w:rsidRPr="00A30925">
        <w:rPr>
          <w:rFonts w:eastAsia="Times New Roman" w:cstheme="minorHAnsi"/>
          <w:color w:val="666666"/>
          <w:sz w:val="24"/>
          <w:szCs w:val="24"/>
          <w:lang w:eastAsia="fr-BE"/>
        </w:rPr>
        <w:t>.</w:t>
      </w:r>
    </w:p>
    <w:p w:rsidR="002D610A" w:rsidRPr="002D610A" w:rsidRDefault="002D610A" w:rsidP="00EB4501">
      <w:pPr>
        <w:tabs>
          <w:tab w:val="left" w:pos="3915"/>
        </w:tabs>
        <w:jc w:val="both"/>
        <w:rPr>
          <w:b/>
          <w:bCs/>
          <w:sz w:val="24"/>
          <w:szCs w:val="24"/>
          <w:lang w:val="fr-FR"/>
        </w:rPr>
      </w:pPr>
      <w:r w:rsidRPr="002D610A">
        <w:rPr>
          <w:b/>
          <w:bCs/>
          <w:sz w:val="24"/>
          <w:szCs w:val="24"/>
          <w:lang w:val="fr-FR"/>
        </w:rPr>
        <w:t>Conclusion et perspective d’avenir</w:t>
      </w:r>
    </w:p>
    <w:p w:rsidR="002D610A" w:rsidRPr="002D610A" w:rsidRDefault="002D610A" w:rsidP="00EB4501">
      <w:pPr>
        <w:tabs>
          <w:tab w:val="left" w:pos="391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2D610A">
        <w:rPr>
          <w:b/>
          <w:bCs/>
          <w:sz w:val="24"/>
          <w:szCs w:val="24"/>
        </w:rPr>
        <w:t>onclusion:</w:t>
      </w:r>
      <w:r w:rsidRPr="002D610A">
        <w:rPr>
          <w:sz w:val="24"/>
          <w:szCs w:val="24"/>
        </w:rPr>
        <w:t xml:space="preserve"> Le  stress lié à la grossesse exprimé par un EVA ≥ 8 semble pouvoir prédire la PE. </w:t>
      </w:r>
      <w:r w:rsidR="006E35E2">
        <w:rPr>
          <w:sz w:val="24"/>
          <w:szCs w:val="24"/>
        </w:rPr>
        <w:t>De ce fait</w:t>
      </w:r>
      <w:r w:rsidRPr="002D610A">
        <w:rPr>
          <w:sz w:val="24"/>
          <w:szCs w:val="24"/>
        </w:rPr>
        <w:t xml:space="preserve">, </w:t>
      </w:r>
      <w:r w:rsidR="00EB4501">
        <w:rPr>
          <w:sz w:val="24"/>
          <w:szCs w:val="24"/>
        </w:rPr>
        <w:t>l’EVA</w:t>
      </w:r>
      <w:r w:rsidRPr="002D610A">
        <w:rPr>
          <w:sz w:val="24"/>
          <w:szCs w:val="24"/>
        </w:rPr>
        <w:t xml:space="preserve"> peut être un outil important pour le dépistage précoce de la PE.</w:t>
      </w:r>
    </w:p>
    <w:p w:rsidR="002D610A" w:rsidRPr="002D610A" w:rsidRDefault="0095142C" w:rsidP="00EB4501">
      <w:pPr>
        <w:tabs>
          <w:tab w:val="left" w:pos="391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P</w:t>
      </w:r>
      <w:r w:rsidR="002D610A" w:rsidRPr="002D610A">
        <w:rPr>
          <w:b/>
          <w:bCs/>
          <w:sz w:val="24"/>
          <w:szCs w:val="24"/>
          <w:lang w:val="fr-FR"/>
        </w:rPr>
        <w:t>erspective:</w:t>
      </w:r>
      <w:r w:rsidR="0084623E">
        <w:rPr>
          <w:sz w:val="24"/>
          <w:szCs w:val="24"/>
          <w:lang w:val="fr-FR"/>
        </w:rPr>
        <w:t xml:space="preserve"> en considérant un</w:t>
      </w:r>
      <w:r w:rsidR="002D610A" w:rsidRPr="002D610A">
        <w:rPr>
          <w:sz w:val="24"/>
          <w:szCs w:val="24"/>
          <w:lang w:val="fr-FR"/>
        </w:rPr>
        <w:t xml:space="preserve"> EVA </w:t>
      </w:r>
      <w:r w:rsidR="002D610A" w:rsidRPr="002D610A">
        <w:rPr>
          <w:sz w:val="24"/>
          <w:szCs w:val="24"/>
        </w:rPr>
        <w:t xml:space="preserve">≥ 8 comme un facteur de risque de la PE, </w:t>
      </w:r>
      <w:r w:rsidR="002D610A" w:rsidRPr="002D610A">
        <w:rPr>
          <w:sz w:val="24"/>
          <w:szCs w:val="24"/>
          <w:lang w:val="fr-FR"/>
        </w:rPr>
        <w:t>une étude prospective avec groupe témoin devra être menée pour rechercher l’effet d’un accompagnement psychologique dans la prévention de la PE.</w:t>
      </w:r>
    </w:p>
    <w:p w:rsidR="0095142C" w:rsidRDefault="0095142C" w:rsidP="00EB4501">
      <w:pPr>
        <w:tabs>
          <w:tab w:val="left" w:pos="3915"/>
        </w:tabs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Références</w:t>
      </w:r>
    </w:p>
    <w:p w:rsidR="0095142C" w:rsidRDefault="0095142C" w:rsidP="00EB450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3B306F">
        <w:rPr>
          <w:sz w:val="24"/>
          <w:szCs w:val="24"/>
          <w:lang w:val="en-US"/>
        </w:rPr>
        <w:t>Epidemiology, 1996, May 7(3): 245-9.</w:t>
      </w:r>
      <w:r w:rsidRPr="003B306F">
        <w:rPr>
          <w:sz w:val="24"/>
          <w:szCs w:val="24"/>
        </w:rPr>
        <w:t xml:space="preserve"> </w:t>
      </w:r>
    </w:p>
    <w:p w:rsidR="003B306F" w:rsidRPr="003B306F" w:rsidRDefault="003B306F" w:rsidP="00EB450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 </w:t>
      </w:r>
      <w:proofErr w:type="spellStart"/>
      <w:r w:rsidRPr="003B306F">
        <w:rPr>
          <w:sz w:val="24"/>
          <w:szCs w:val="24"/>
          <w:vertAlign w:val="superscript"/>
        </w:rPr>
        <w:t>ème</w:t>
      </w:r>
      <w:proofErr w:type="spellEnd"/>
      <w:r>
        <w:rPr>
          <w:sz w:val="24"/>
          <w:szCs w:val="24"/>
        </w:rPr>
        <w:t xml:space="preserve"> Congrès de la SRLF, Paris, 2014.</w:t>
      </w:r>
    </w:p>
    <w:p w:rsidR="003B306F" w:rsidRPr="003B306F" w:rsidRDefault="003B306F" w:rsidP="003B306F">
      <w:pPr>
        <w:pStyle w:val="Paragraphedeliste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fr-BE"/>
        </w:rPr>
      </w:pPr>
    </w:p>
    <w:p w:rsidR="002D610A" w:rsidRPr="002D610A" w:rsidRDefault="002D610A" w:rsidP="00CD7D24">
      <w:pPr>
        <w:tabs>
          <w:tab w:val="left" w:pos="3915"/>
        </w:tabs>
        <w:rPr>
          <w:sz w:val="24"/>
          <w:szCs w:val="24"/>
        </w:rPr>
      </w:pPr>
    </w:p>
    <w:sectPr w:rsidR="002D610A" w:rsidRPr="002D610A" w:rsidSect="0091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BCA"/>
    <w:multiLevelType w:val="hybridMultilevel"/>
    <w:tmpl w:val="CD2EEEA2"/>
    <w:lvl w:ilvl="0" w:tplc="7FAC8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48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A6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047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2A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E6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E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A1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E0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F36F11"/>
    <w:multiLevelType w:val="hybridMultilevel"/>
    <w:tmpl w:val="449800C4"/>
    <w:lvl w:ilvl="0" w:tplc="9CE0A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7BB4"/>
    <w:multiLevelType w:val="hybridMultilevel"/>
    <w:tmpl w:val="F8B834BA"/>
    <w:lvl w:ilvl="0" w:tplc="3342D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C5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A1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86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28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08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6A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F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A7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37221"/>
    <w:multiLevelType w:val="hybridMultilevel"/>
    <w:tmpl w:val="E296201E"/>
    <w:lvl w:ilvl="0" w:tplc="8E2E1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2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44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6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C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4F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49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C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A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D24"/>
    <w:rsid w:val="0000220D"/>
    <w:rsid w:val="00057831"/>
    <w:rsid w:val="00123911"/>
    <w:rsid w:val="00206A77"/>
    <w:rsid w:val="00260AEA"/>
    <w:rsid w:val="002D610A"/>
    <w:rsid w:val="00305B78"/>
    <w:rsid w:val="00375DA6"/>
    <w:rsid w:val="003B306F"/>
    <w:rsid w:val="003D2967"/>
    <w:rsid w:val="003F560D"/>
    <w:rsid w:val="00406275"/>
    <w:rsid w:val="004977D4"/>
    <w:rsid w:val="004E2431"/>
    <w:rsid w:val="004F6938"/>
    <w:rsid w:val="005109ED"/>
    <w:rsid w:val="00536890"/>
    <w:rsid w:val="005E1586"/>
    <w:rsid w:val="00671C30"/>
    <w:rsid w:val="00684E57"/>
    <w:rsid w:val="00696EBE"/>
    <w:rsid w:val="006E35E2"/>
    <w:rsid w:val="006F7633"/>
    <w:rsid w:val="007408B0"/>
    <w:rsid w:val="007D58B5"/>
    <w:rsid w:val="007E1903"/>
    <w:rsid w:val="00833CF8"/>
    <w:rsid w:val="0084623E"/>
    <w:rsid w:val="008F530D"/>
    <w:rsid w:val="00917B30"/>
    <w:rsid w:val="0095142C"/>
    <w:rsid w:val="009F4732"/>
    <w:rsid w:val="00A30925"/>
    <w:rsid w:val="00AC6127"/>
    <w:rsid w:val="00AD3DCC"/>
    <w:rsid w:val="00AF174B"/>
    <w:rsid w:val="00C05586"/>
    <w:rsid w:val="00CD7D24"/>
    <w:rsid w:val="00CF1471"/>
    <w:rsid w:val="00D67E60"/>
    <w:rsid w:val="00D96700"/>
    <w:rsid w:val="00EB4501"/>
    <w:rsid w:val="00F645FE"/>
    <w:rsid w:val="00F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D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3B30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3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05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98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29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NODASA_3</cp:lastModifiedBy>
  <cp:revision>2</cp:revision>
  <dcterms:created xsi:type="dcterms:W3CDTF">2018-07-17T12:59:00Z</dcterms:created>
  <dcterms:modified xsi:type="dcterms:W3CDTF">2018-07-17T12:59:00Z</dcterms:modified>
</cp:coreProperties>
</file>